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C24D14"/>
          <w:sz w:val="36"/>
        </w:rPr>
        <w:t>ADAMPLUS Agent Definition Card</w:t>
      </w:r>
    </w:p>
    <w:p>
      <w:r>
        <w:rPr>
          <w:b/>
          <w:sz w:val="26"/>
        </w:rPr>
        <w:t>Media Content Catalog Agent  ·  adamplus-ops-content-catalog</w:t>
      </w:r>
    </w:p>
    <w:p>
      <w:r>
        <w:rPr>
          <w:i/>
          <w:sz w:val="16"/>
        </w:rPr>
        <w:t>Cluster: Operations Extension - NetStreamX Media    |    Conformance: ADAM Book New v0.3 / BOSS v3.2 / FR Schema v2 / RGI v1.1 / Day-1 PQC (Ed25519 + ML-DSA-65 + ML-KEM-768)    |    Date: 2026-05-05</w:t>
      </w:r>
    </w:p>
    <w:p>
      <w:r>
        <w:rPr>
          <w:i/>
          <w:sz w:val="16"/>
        </w:rPr>
        <w:t>ADAMPLUS denotes an extension to the canonical 81-agent mesh required by real-world enterprise flows (AR/AP, banking, HR, CRM, Operations / industry verticals, ITSM, procurement). ADAMPLUS agents inherit ADAM doctrine and flow through the same six-stage pipeline; they are NOT an alternate governance model.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adamplus-ops-content-catalog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Media Content Catalog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 extension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Cluster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Operations Extension - NetStreamX Media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Market Director + Legal Director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ga-market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Base-mesh Anchors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wg-data-rights; wg-data-residency; wg-data-gov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did:adam:adamplus-ops-content-catalog#&lt;dual_key_thumbprint_ed25519+mldsa65&gt;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Per QA Layer 6 - recommendations downstream MUST NOT use viewing history as input.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Authoritative media catalog over which the streaming runtime operates. Authoritative media catalog: registers asset metadata, requires wg-data-rights clearance per territory + window, and publishes via adapter-netstreamx-cms.</w:t>
      </w:r>
    </w:p>
    <w:p>
      <w:pPr>
        <w:pStyle w:val="Heading2"/>
      </w:pPr>
      <w:r>
        <w:rPr>
          <w:color w:val="334E68"/>
        </w:rPr>
        <w:t>3. Real-World Flow Walkthrough</w:t>
      </w:r>
    </w:p>
    <w:p>
      <w:r>
        <w:rPr>
          <w:sz w:val="20"/>
        </w:rPr>
        <w:t>When NetStreamX ingests a new film/series/game/live-event, this agent registers the asset with metadata, requires wg-data-rights to clear rights for territory + window, applies adapter-netstreamx-cms for runtime publishing, and emits 'asset_published'.</w:t>
      </w:r>
    </w:p>
    <w:p>
      <w:pPr>
        <w:pStyle w:val="Heading2"/>
      </w:pPr>
      <w:r>
        <w:rPr>
          <w:color w:val="334E68"/>
        </w:rPr>
        <w:t>4. In-Scope Responsibilities</w:t>
      </w:r>
    </w:p>
    <w:p>
      <w:pPr>
        <w:pStyle w:val="ListBullet"/>
      </w:pPr>
      <w:r>
        <w:rPr>
          <w:sz w:val="20"/>
        </w:rPr>
        <w:t>Register asset (id, title, type, runtime, rating, language).</w:t>
      </w:r>
    </w:p>
    <w:p>
      <w:pPr>
        <w:pStyle w:val="ListBullet"/>
      </w:pPr>
      <w:r>
        <w:rPr>
          <w:sz w:val="20"/>
        </w:rPr>
        <w:t>Coordinate with wg-data-rights for clearance.</w:t>
      </w:r>
    </w:p>
    <w:p>
      <w:pPr>
        <w:pStyle w:val="ListBullet"/>
      </w:pPr>
      <w:r>
        <w:rPr>
          <w:sz w:val="20"/>
        </w:rPr>
        <w:t>Apply territory + window gates.</w:t>
      </w:r>
    </w:p>
    <w:p>
      <w:pPr>
        <w:pStyle w:val="ListBullet"/>
      </w:pPr>
      <w:r>
        <w:rPr>
          <w:sz w:val="20"/>
        </w:rPr>
        <w:t>Publish to runtime via adapter-netstreamx-cms.</w:t>
      </w:r>
    </w:p>
    <w:p>
      <w:pPr>
        <w:pStyle w:val="ListBullet"/>
      </w:pPr>
      <w:r>
        <w:rPr>
          <w:sz w:val="20"/>
        </w:rPr>
        <w:t>Emit 'asset_registered' / 'asset_published' / 'asset_taken_down'.</w:t>
      </w:r>
    </w:p>
    <w:p>
      <w:pPr>
        <w:pStyle w:val="Heading2"/>
      </w:pPr>
      <w:r>
        <w:rPr>
          <w:color w:val="334E68"/>
        </w:rPr>
        <w:t>5. Explicitly Out of Scope</w:t>
      </w:r>
    </w:p>
    <w:p>
      <w:pPr>
        <w:pStyle w:val="ListBullet"/>
      </w:pPr>
      <w:r>
        <w:rPr>
          <w:sz w:val="20"/>
        </w:rPr>
        <w:t>Streaming delivery (adamplus-ops-streaming).</w:t>
      </w:r>
    </w:p>
    <w:p>
      <w:pPr>
        <w:pStyle w:val="ListBullet"/>
      </w:pPr>
      <w:r>
        <w:rPr>
          <w:sz w:val="20"/>
        </w:rPr>
        <w:t>Recommendations (per NetStreamX QA Layer 6 — viewing history is NOT an input).</w:t>
      </w:r>
    </w:p>
    <w:p>
      <w:pPr>
        <w:pStyle w:val="Heading2"/>
      </w:pPr>
      <w:r>
        <w:rPr>
          <w:color w:val="334E68"/>
        </w:rPr>
        <w:t>6. Inputs</w:t>
      </w:r>
    </w:p>
    <w:p>
      <w:pPr>
        <w:pStyle w:val="ListBullet"/>
      </w:pPr>
      <w:r>
        <w:rPr>
          <w:sz w:val="20"/>
        </w:rPr>
        <w:t>POST /asset.</w:t>
      </w:r>
    </w:p>
    <w:p>
      <w:pPr>
        <w:pStyle w:val="ListBullet"/>
      </w:pPr>
      <w:r>
        <w:rPr>
          <w:sz w:val="20"/>
        </w:rPr>
        <w:t>POST /publish.</w:t>
      </w:r>
    </w:p>
    <w:p>
      <w:pPr>
        <w:pStyle w:val="Heading2"/>
      </w:pPr>
      <w:r>
        <w:rPr>
          <w:color w:val="334E68"/>
        </w:rPr>
        <w:t>7. Outputs (Flight Recorder &amp; Side Effects)</w:t>
      </w:r>
    </w:p>
    <w:p>
      <w:pPr>
        <w:pStyle w:val="ListBullet"/>
      </w:pPr>
      <w:r>
        <w:rPr>
          <w:sz w:val="20"/>
        </w:rPr>
        <w:t>FR events; CMS push.</w:t>
      </w:r>
    </w:p>
    <w:p>
      <w:pPr>
        <w:pStyle w:val="Heading2"/>
      </w:pPr>
      <w:r>
        <w:rPr>
          <w:color w:val="334E68"/>
        </w:rPr>
        <w:t>8. Public API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/asset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Register.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/publish/{id}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Publish.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/takedown/{id}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Takedown.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/catalog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Catalog snapshot.</w:t>
            </w:r>
          </w:p>
        </w:tc>
      </w:tr>
    </w:tbl>
    <w:p>
      <w:pPr>
        <w:pStyle w:val="Heading2"/>
      </w:pPr>
      <w:r>
        <w:rPr>
          <w:color w:val="334E68"/>
        </w:rPr>
        <w:t>9. State &amp; Persistence</w:t>
      </w:r>
    </w:p>
    <w:p>
      <w:r>
        <w:rPr>
          <w:sz w:val="20"/>
        </w:rPr>
        <w:t>Postgres media_catalog.</w:t>
      </w:r>
    </w:p>
    <w:p>
      <w:pPr>
        <w:pStyle w:val="Heading2"/>
      </w:pPr>
      <w:r>
        <w:rPr>
          <w:color w:val="334E68"/>
        </w:rPr>
        <w:t>10.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rights_certainty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Surfaces.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sovereignty_action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Territory gate is sovereignty.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11. Governor / Director Concurrence</w:t>
      </w:r>
    </w:p>
    <w:p>
      <w:pPr>
        <w:pStyle w:val="ListBullet"/>
      </w:pPr>
      <w:r>
        <w:rPr>
          <w:sz w:val="20"/>
        </w:rPr>
        <w:t>Inherits the canonical six-stage pipeline: hi-intent -&gt; 5 governors concur -&gt; BOSS -&gt; orch-policy enforce -&gt; orch-global execute -&gt; orch-evidence pin.</w:t>
      </w:r>
    </w:p>
    <w:p>
      <w:pPr>
        <w:pStyle w:val="ListBullet"/>
      </w:pPr>
      <w:r>
        <w:rPr>
          <w:sz w:val="20"/>
        </w:rPr>
        <w:t>Cannot self-execute material (BOSS &gt;= ELEVATED) actions; called via orch-global with a signed decision token.</w:t>
      </w:r>
    </w:p>
    <w:p>
      <w:pPr>
        <w:pStyle w:val="ListBullet"/>
      </w:pPr>
      <w:r>
        <w:rPr>
          <w:sz w:val="20"/>
        </w:rPr>
        <w:t>Idempotent on X-Action-Id (UUIDv5); duplicate within 24h returns prior receipt.</w:t>
      </w:r>
    </w:p>
    <w:p>
      <w:pPr>
        <w:pStyle w:val="Heading2"/>
      </w:pPr>
      <w:r>
        <w:rPr>
          <w:color w:val="334E68"/>
        </w:rPr>
        <w:t>12.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Default OPA package: adam.adamplus.&lt;cluster&gt; + adam.workgroup; supplemental per-agent Rego MUST be authored under ADAM - OPA Rego Authoring Standards v0.3.</w:t>
      </w:r>
    </w:p>
    <w:p>
      <w:pPr>
        <w:pStyle w:val="Heading2"/>
      </w:pPr>
      <w:r>
        <w:rPr>
          <w:color w:val="334E68"/>
        </w:rPr>
        <w:t>13. Failure Modes &amp; Safe-Mode</w:t>
      </w:r>
    </w:p>
    <w:p>
      <w:r>
        <w:rPr>
          <w:sz w:val="20"/>
        </w:rPr>
        <w:t>On governor block, return 423 Locked with rationale. On chain unavailability, freeze writes and return 503 with FR 'agent_safe_mode_entered'. On adapter degradation, mark intent 'awaiting_external_recovery' and surface to hi-gateway.</w:t>
      </w:r>
    </w:p>
    <w:p>
      <w:pPr>
        <w:pStyle w:val="Heading2"/>
      </w:pPr>
      <w:r>
        <w:rPr>
          <w:color w:val="334E68"/>
        </w:rPr>
        <w:t>14.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(1M-customer)</w:t>
            </w:r>
          </w:p>
        </w:tc>
        <w:tc>
          <w:tcPr>
            <w:tcW w:type="dxa" w:w="2484"/>
          </w:tcPr>
          <w:p>
            <w:r>
              <w:t>50</w:t>
            </w:r>
          </w:p>
        </w:tc>
        <w:tc>
          <w:tcPr>
            <w:tcW w:type="dxa" w:w="2484"/>
          </w:tcPr>
          <w:p>
            <w:r>
              <w:t>200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15.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wg-data-rights, wg-data-residency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adapter-netstreamx-cms, adamplus-ops-streaming, Flight Recorder</w:t>
      </w:r>
    </w:p>
    <w:p>
      <w:pPr>
        <w:pStyle w:val="Heading2"/>
      </w:pPr>
      <w:r>
        <w:rPr>
          <w:color w:val="334E68"/>
        </w:rPr>
        <w:t>16.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800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500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99.97%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M3, M5, M6</w:t>
            </w:r>
          </w:p>
        </w:tc>
      </w:tr>
    </w:tbl>
    <w:p>
      <w:pPr>
        <w:pStyle w:val="Heading2"/>
      </w:pPr>
      <w:r>
        <w:rPr>
          <w:color w:val="334E68"/>
        </w:rPr>
        <w:t>17.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(FIPS 204) from the very first call. ML-KEM-768 (FIPS 203) is used for key encapsulation on every cross-service transport. SLH-DSA (FIPS 205) is enabled as the long-term anchor signature. CMSA 2.0 (Jan 2027) conformant ahead of schedule.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18.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6 (E2E flow)</w:t>
      </w:r>
    </w:p>
    <w:p>
      <w:r>
        <w:rPr>
          <w:i/>
          <w:sz w:val="18"/>
        </w:rPr>
        <w:t>Add a layerN_&lt;id&gt; function in deployment/&lt;profile&gt;/qa/qa_suite.py and register in LAYER_FNS.</w:t>
      </w:r>
    </w:p>
    <w:p>
      <w:pPr>
        <w:pStyle w:val="Heading2"/>
      </w:pPr>
      <w:r>
        <w:rPr>
          <w:color w:val="334E68"/>
        </w:rPr>
        <w:t>19.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deployment/{profile}/agents/adamplus/ops_content_catalog/server.py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adam/adamplus-ops-content-catalog:0.2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adamplus-ops-content-catalog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iac/k3d/agents-adamplus.yaml (new file; class=adamplus)</w:t>
            </w:r>
          </w:p>
        </w:tc>
      </w:tr>
    </w:tbl>
    <w:p>
      <w:pPr>
        <w:pStyle w:val="ListBullet"/>
      </w:pPr>
      <w:r>
        <w:rPr>
          <w:sz w:val="20"/>
        </w:rPr>
        <w:t>Stand up service.</w:t>
      </w:r>
    </w:p>
    <w:p>
      <w:pPr>
        <w:pStyle w:val="ListBullet"/>
      </w:pPr>
      <w:r>
        <w:rPr>
          <w:sz w:val="20"/>
        </w:rPr>
        <w:t>Wire wg-data-rights gate.</w:t>
      </w:r>
    </w:p>
    <w:p>
      <w:pPr>
        <w:pStyle w:val="ListBullet"/>
      </w:pPr>
      <w:r>
        <w:rPr>
          <w:sz w:val="20"/>
        </w:rPr>
        <w:t>Wire adapter-netstreamx-cms.</w:t>
      </w:r>
    </w:p>
    <w:p>
      <w:pPr>
        <w:pStyle w:val="Heading2"/>
      </w:pPr>
      <w:r>
        <w:rPr>
          <w:color w:val="334E68"/>
        </w:rPr>
        <w:t>20. Adapters Used</w:t>
      </w:r>
    </w:p>
    <w:p>
      <w:pPr>
        <w:pStyle w:val="ListBullet"/>
      </w:pPr>
      <w:r>
        <w:rPr>
          <w:sz w:val="20"/>
        </w:rPr>
        <w:t>adapter-netstreamx-cms - canonical adapter card at D:\ADAM\ADAM Integration Adapters\adapter-netstreamx-cms__*.docx</w:t>
      </w:r>
    </w:p>
    <w:p>
      <w:r>
        <w:rPr>
          <w:i/>
          <w:sz w:val="18"/>
        </w:rPr>
        <w:t>Adapter contracts: each listed adapter publishes its schema list, auth, idempotency, residency, and Day-1 PQC posture in its own card. This agent MUST honor those contracts; mismatches are surfaced as FR 'adapter_contract_violation'.</w:t>
      </w:r>
    </w:p>
    <w:p>
      <w:pPr>
        <w:pStyle w:val="Heading2"/>
      </w:pPr>
      <w:r>
        <w:rPr>
          <w:color w:val="334E68"/>
        </w:rPr>
        <w:t>21. Acceptance Criteria (DoD)</w:t>
      </w:r>
    </w:p>
    <w:p>
      <w:pPr>
        <w:pStyle w:val="ListBullet"/>
      </w:pPr>
      <w:r>
        <w:rPr>
          <w:sz w:val="20"/>
        </w:rPr>
        <w:t>/healthz and /readyz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correct event_type and intent_id.</w:t>
      </w:r>
    </w:p>
    <w:p>
      <w:pPr>
        <w:pStyle w:val="ListBullet"/>
      </w:pPr>
      <w:r>
        <w:rPr>
          <w:sz w:val="20"/>
        </w:rPr>
        <w:t>Idempotency on X-Action-Id (UUIDv5) - duplicate within 24h returns prior receipt.</w:t>
      </w:r>
    </w:p>
    <w:p>
      <w:pPr>
        <w:pStyle w:val="ListBullet"/>
      </w:pPr>
      <w:r>
        <w:rPr>
          <w:sz w:val="20"/>
        </w:rPr>
        <w:t>Doctrine_version is read at boot and stamped on every FR append.</w:t>
      </w:r>
    </w:p>
    <w:p>
      <w:pPr>
        <w:pStyle w:val="ListBullet"/>
      </w:pPr>
      <w:r>
        <w:rPr>
          <w:sz w:val="20"/>
        </w:rPr>
        <w:t>QA layer added to qa_suite.py and passes.</w:t>
      </w:r>
    </w:p>
    <w:p>
      <w:pPr>
        <w:pStyle w:val="ListBullet"/>
      </w:pPr>
      <w:r>
        <w:rPr>
          <w:sz w:val="20"/>
        </w:rPr>
        <w:t>OPA Rego package adam.adamplus.&lt;cluster&gt; loaded; default-deny verified.</w:t>
      </w:r>
    </w:p>
    <w:p>
      <w:pPr>
        <w:pStyle w:val="ListBullet"/>
      </w:pPr>
      <w:r>
        <w:rPr>
          <w:sz w:val="20"/>
        </w:rPr>
        <w:t>Day-1 dual-signature (Ed25519 + ML-DSA-65) enforced on every payload; single-signed payloads rejected with 'pqc_violation_rejected'.</w:t>
      </w:r>
    </w:p>
    <w:p>
      <w:pPr>
        <w:pStyle w:val="ListBullet"/>
      </w:pPr>
      <w:r>
        <w:rPr>
          <w:sz w:val="20"/>
        </w:rPr>
        <w:t>Compose service starts under `docker compose up -d` and k3d Deployment scales to &gt;=2 replicas with HPA.</w:t>
      </w:r>
    </w:p>
    <w:p>
      <w:pPr>
        <w:pStyle w:val="ListBullet"/>
      </w:pPr>
      <w:r>
        <w:rPr>
          <w:sz w:val="20"/>
        </w:rPr>
        <w:t>Director Dashboard Agent Card overlay shows the new ADAMPLUS agent.</w:t>
      </w:r>
    </w:p>
    <w:p>
      <w:pPr>
        <w:pStyle w:val="ListBullet"/>
      </w:pPr>
      <w:r>
        <w:rPr>
          <w:sz w:val="20"/>
        </w:rPr>
        <w:t>All adapters this agent depends on appear in /etc/adam/adapters/&lt;name&gt;.yaml and are health-pinged.</w:t>
      </w:r>
    </w:p>
    <w:p>
      <w:pPr>
        <w:pStyle w:val="ListBullet"/>
      </w:pPr>
      <w:r>
        <w:rPr>
          <w:sz w:val="20"/>
        </w:rPr>
        <w:t>Flow integration test covers the documented Real-World Flow Walkthrough end-to-end.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