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Strategic Sourcing Agent  ·  adamplus-proc-sourcing</w:t>
      </w:r>
    </w:p>
    <w:p>
      <w:r>
        <w:rPr>
          <w:i/>
          <w:sz w:val="16"/>
        </w:rPr>
        <w:t>Cluster: Procurement Extension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adamplus-proc-sourcing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Strategic Sourcing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Procurement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CFO + Market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ga-financial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wg-market-partner; adamplus-proc-po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did:adam:adamplus-proc-sourcing#&lt;dual_key_thumbprint_ed25519+mldsa65&gt;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Sourcing event lifecycle. Owns sourcing event lifecycle (RFP/RFQ): requirements, bidder list, evaluation, award; coordinates contract via wg-legal-contract and PO via adamplus-proc-po.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Sourcing event (RFP/RFQ) flow: requirements -&gt; bidders -&gt; evaluation -&gt; award -&gt; contract via wg-legal-contract -&gt; PO via adamplus-proc-po.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Run RFP/RFQ.</w:t>
      </w:r>
    </w:p>
    <w:p>
      <w:pPr>
        <w:pStyle w:val="ListBullet"/>
      </w:pPr>
      <w:r>
        <w:rPr>
          <w:sz w:val="20"/>
        </w:rPr>
        <w:t>Evaluate bids.</w:t>
      </w:r>
    </w:p>
    <w:p>
      <w:pPr>
        <w:pStyle w:val="ListBullet"/>
      </w:pPr>
      <w:r>
        <w:rPr>
          <w:sz w:val="20"/>
        </w:rPr>
        <w:t>Coordinate award + contract.</w:t>
      </w:r>
    </w:p>
    <w:p>
      <w:pPr>
        <w:pStyle w:val="ListBullet"/>
      </w:pPr>
      <w:r>
        <w:rPr>
          <w:sz w:val="20"/>
        </w:rPr>
        <w:t>Hand to adamplus-proc-po.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Selecting bidders (Director).</w:t>
      </w:r>
    </w:p>
    <w:p>
      <w:pPr>
        <w:pStyle w:val="ListBullet"/>
      </w:pPr>
      <w:r>
        <w:rPr>
          <w:sz w:val="20"/>
        </w:rPr>
        <w:t>Issuing PO (adamplus-proc-po).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/event.</w:t>
      </w:r>
    </w:p>
    <w:p>
      <w:pPr>
        <w:pStyle w:val="ListBullet"/>
      </w:pPr>
      <w:r>
        <w:rPr>
          <w:sz w:val="20"/>
        </w:rPr>
        <w:t>POST /award.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events.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/event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Create event.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/bid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Submit bid.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/award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Award.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sourcing_events + bids.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financial_exposure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adapter-coupa / SAP Ariba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adamplus-proc-po, wg-legal-contract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600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99.95%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M4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deployment/{profile}/agents/adamplus/proc_sourcing/server.py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adam/adamplus-proc-sourcing:0.2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adamplus-proc-sourcing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service.</w:t>
      </w:r>
    </w:p>
    <w:p>
      <w:pPr>
        <w:pStyle w:val="ListBullet"/>
      </w:pPr>
      <w:r>
        <w:rPr>
          <w:sz w:val="20"/>
        </w:rPr>
        <w:t>Wire Coupa / Ariba adapter.</w:t>
      </w:r>
    </w:p>
    <w:p>
      <w:pPr>
        <w:pStyle w:val="Heading2"/>
      </w:pPr>
      <w:r>
        <w:rPr>
          <w:color w:val="334E68"/>
        </w:rPr>
        <w:t>20. Adapters Used</w:t>
      </w:r>
    </w:p>
    <w:p>
      <w:pPr>
        <w:pStyle w:val="ListBullet"/>
      </w:pPr>
      <w:r>
        <w:rPr>
          <w:sz w:val="20"/>
        </w:rPr>
        <w:t>adapter-coupa - canonical adapter card at D:\ADAM\ADAM Integration Adapters\adapter-coupa__*.docx</w:t>
      </w:r>
    </w:p>
    <w:p>
      <w:pPr>
        <w:pStyle w:val="ListBullet"/>
      </w:pPr>
      <w:r>
        <w:rPr>
          <w:sz w:val="20"/>
        </w:rPr>
        <w:t>adapter-sap-s4hana - canonical adapter card at D:\ADAM\ADAM Integration Adapters\adapter-sap-s4hana__*.docx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