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1F3864"/>
          <w:sz w:val="56"/>
        </w:rPr>
        <w:t>ADAM + NetStreamX</w:t>
      </w:r>
    </w:p>
    <w:p>
      <w:r>
        <w:rPr>
          <w:b/>
          <w:color w:val="2E75B6"/>
          <w:sz w:val="36"/>
        </w:rPr>
        <w:t>Fully Sovereign On-Prem — Cost, Revenue &amp; Pricing Analysis</w:t>
      </w:r>
    </w:p>
    <w:p>
      <w:r>
        <w:rPr>
          <w:i/>
          <w:color w:val="505050"/>
          <w:sz w:val="22"/>
        </w:rPr>
        <w:t>Architecture: Dual-DC Active/Active, Sovereign On-Prem (ADAM_Fully_Sovereign_OnPrem_V2.0)</w:t>
        <w:br/>
        <w:t>Public-cloud remnant: External CDN + DDoS + DRM + Anycast DNS overflow only</w:t>
        <w:br/>
        <w:t>Scale: 1,000,000 subscribers   ·   100,000 UHD titles (2-hr avg)</w:t>
        <w:br/>
        <w:t>Companion to: ADAM_NetStreamX_OnPrem_Cost_Revenue_Model_v1.xlsx</w:t>
        <w:br/>
        <w:t>Version 1.1  ·  April 2026  ·  Michael</w:t>
      </w:r>
    </w:p>
    <w:p>
      <w:r>
        <w:br/>
      </w:r>
    </w:p>
    <w:p>
      <w:pPr>
        <w:pStyle w:val="Heading1"/>
        <w:spacing w:before="320" w:after="160"/>
      </w:pPr>
      <w:r>
        <w:rPr>
          <w:rFonts w:ascii="Calibri" w:hAnsi="Calibri"/>
          <w:b/>
          <w:color w:val="1F3864"/>
          <w:sz w:val="40"/>
        </w:rPr>
        <w:t>Executive Summary</w:t>
      </w:r>
    </w:p>
    <w:p>
      <w:pPr>
        <w:spacing w:after="120"/>
      </w:pPr>
      <w:r>
        <w:rPr>
          <w:b w:val="0"/>
          <w:i w:val="0"/>
          <w:sz w:val="22"/>
        </w:rPr>
        <w:t>This analysis quantifies the full economics of running the ADAM governance framework and the NetStreamX reference streaming workload on a FULLY SOVEREIGN on-premises substrate — dual-DC active/active, bare-metal Kubernetes, on-prem LLM inference (Llama 3 70B / Mistral Large), Ceph+MinIO WORM for Flight Recorder, Thales/Luna HSM, and BGP+EVPN fabric — with public cloud retained ONLY for: (a) external CDN for subscriber content egress, (b) DDoS scrubbing and anycast DNS overflow, and (c) DRM license services. No PII, no Flight Recorder data, no AI inference, and no CORE Engine state leaves the sovereign perimeter.</w:t>
      </w:r>
    </w:p>
    <w:p>
      <w:pPr>
        <w:spacing w:after="120"/>
      </w:pPr>
      <w:r>
        <w:rPr>
          <w:b w:val="0"/>
          <w:i w:val="0"/>
          <w:sz w:val="22"/>
        </w:rPr>
        <w:t>The accompanying workbook is a fully formula-driven model built from 299 live formulas with zero errors. Every figure in this document flows from the blue-input cells in the Assumptions sheet and can be stress-tested without rebuilding. Where the model differs from the multi-cloud reference (Azure-primary + AWS-standby, v1), the comparison sheet computes the delta explicitly.</w:t>
      </w:r>
    </w:p>
    <w:p>
      <w:pPr>
        <w:pStyle w:val="Heading3"/>
        <w:spacing w:before="200" w:after="40"/>
      </w:pPr>
      <w:r>
        <w:rPr>
          <w:b/>
          <w:color w:val="2E75B6"/>
          <w:sz w:val="24"/>
        </w:rPr>
        <w:t>Headline numbers (Year 1, Recommended Scenario C)</w:t>
      </w:r>
    </w:p>
    <w:tbl>
      <w:tblPr>
        <w:tblW w:type="auto" w:w="0"/>
        <w:jc w:val="center"/>
        <w:tblLayout w:type="fixed"/>
        <w:tblLook w:firstColumn="1" w:firstRow="1" w:lastColumn="0" w:lastRow="0" w:noHBand="0" w:noVBand="1" w:val="04A0"/>
      </w:tblPr>
      <w:tblGrid>
        <w:gridCol w:w="3120"/>
        <w:gridCol w:w="3120"/>
        <w:gridCol w:w="3120"/>
      </w:tblGrid>
      <w:tr>
        <w:tc>
          <w:tcPr>
            <w:tcW w:type="dxa" w:w="4032"/>
            <w:shd w:fill="1F3864"/>
            <w:vAlign w:val="center"/>
          </w:tcPr>
          <w:p>
            <w:r/>
            <w:r>
              <w:rPr>
                <w:b/>
                <w:color w:val="FFFFFF"/>
                <w:sz w:val="21"/>
              </w:rPr>
              <w:t>Metric</w:t>
            </w:r>
          </w:p>
        </w:tc>
        <w:tc>
          <w:tcPr>
            <w:tcW w:type="dxa" w:w="2448"/>
            <w:shd w:fill="1F3864"/>
            <w:vAlign w:val="center"/>
          </w:tcPr>
          <w:p>
            <w:r/>
            <w:r>
              <w:rPr>
                <w:b/>
                <w:color w:val="FFFFFF"/>
                <w:sz w:val="21"/>
              </w:rPr>
              <w:t>Value</w:t>
            </w:r>
          </w:p>
        </w:tc>
        <w:tc>
          <w:tcPr>
            <w:tcW w:type="dxa" w:w="2160"/>
            <w:shd w:fill="1F3864"/>
            <w:vAlign w:val="center"/>
          </w:tcPr>
          <w:p>
            <w:r/>
            <w:r>
              <w:rPr>
                <w:b/>
                <w:color w:val="FFFFFF"/>
                <w:sz w:val="21"/>
              </w:rPr>
              <w:t>Per Sub / Month</w:t>
            </w:r>
          </w:p>
        </w:tc>
      </w:tr>
      <w:tr>
        <w:tc>
          <w:tcPr>
            <w:tcW w:type="dxa" w:w="4032"/>
          </w:tcPr>
          <w:p>
            <w:r/>
            <w:r>
              <w:rPr>
                <w:sz w:val="20"/>
              </w:rPr>
              <w:t>Subscribers (launch)</w:t>
            </w:r>
          </w:p>
        </w:tc>
        <w:tc>
          <w:tcPr>
            <w:tcW w:type="dxa" w:w="2448"/>
          </w:tcPr>
          <w:p>
            <w:r/>
            <w:r>
              <w:rPr>
                <w:sz w:val="20"/>
              </w:rPr>
              <w:t>1,000,000</w:t>
            </w:r>
          </w:p>
        </w:tc>
        <w:tc>
          <w:tcPr>
            <w:tcW w:type="dxa" w:w="2160"/>
          </w:tcPr>
          <w:p>
            <w:r/>
            <w:r>
              <w:rPr>
                <w:sz w:val="20"/>
              </w:rPr>
              <w:t>—</w:t>
            </w:r>
          </w:p>
        </w:tc>
      </w:tr>
      <w:tr>
        <w:tc>
          <w:tcPr>
            <w:tcW w:type="dxa" w:w="4032"/>
            <w:shd w:fill="F2F2F2"/>
          </w:tcPr>
          <w:p>
            <w:r/>
            <w:r>
              <w:rPr>
                <w:sz w:val="20"/>
              </w:rPr>
              <w:t>Monthly streaming egress (external CDN)</w:t>
            </w:r>
          </w:p>
        </w:tc>
        <w:tc>
          <w:tcPr>
            <w:tcW w:type="dxa" w:w="2448"/>
            <w:shd w:fill="F2F2F2"/>
          </w:tcPr>
          <w:p>
            <w:r/>
            <w:r>
              <w:rPr>
                <w:sz w:val="20"/>
              </w:rPr>
              <w:t>78 PB</w:t>
            </w:r>
          </w:p>
        </w:tc>
        <w:tc>
          <w:tcPr>
            <w:tcW w:type="dxa" w:w="2160"/>
            <w:shd w:fill="F2F2F2"/>
          </w:tcPr>
          <w:p>
            <w:r/>
            <w:r>
              <w:rPr>
                <w:sz w:val="20"/>
              </w:rPr>
              <w:t>82 GB</w:t>
            </w:r>
          </w:p>
        </w:tc>
      </w:tr>
      <w:tr>
        <w:tc>
          <w:tcPr>
            <w:tcW w:type="dxa" w:w="4032"/>
          </w:tcPr>
          <w:p>
            <w:r/>
            <w:r>
              <w:rPr>
                <w:sz w:val="20"/>
              </w:rPr>
              <w:t>Content library (raw, with ABR + 2.5x repl)</w:t>
            </w:r>
          </w:p>
        </w:tc>
        <w:tc>
          <w:tcPr>
            <w:tcW w:type="dxa" w:w="2448"/>
          </w:tcPr>
          <w:p>
            <w:r/>
            <w:r>
              <w:rPr>
                <w:sz w:val="20"/>
              </w:rPr>
              <w:t>13.1 PB</w:t>
            </w:r>
          </w:p>
        </w:tc>
        <w:tc>
          <w:tcPr>
            <w:tcW w:type="dxa" w:w="2160"/>
          </w:tcPr>
          <w:p>
            <w:r/>
            <w:r>
              <w:rPr>
                <w:sz w:val="20"/>
              </w:rPr>
              <w:t>13.8 MB</w:t>
            </w:r>
          </w:p>
        </w:tc>
      </w:tr>
      <w:tr>
        <w:tc>
          <w:tcPr>
            <w:tcW w:type="dxa" w:w="4032"/>
            <w:shd w:fill="F2F2F2"/>
          </w:tcPr>
          <w:p>
            <w:r/>
            <w:r>
              <w:rPr>
                <w:sz w:val="20"/>
              </w:rPr>
              <w:t>Flight Recorder (cumulative 7-yr WORM)</w:t>
            </w:r>
          </w:p>
        </w:tc>
        <w:tc>
          <w:tcPr>
            <w:tcW w:type="dxa" w:w="2448"/>
            <w:shd w:fill="F2F2F2"/>
          </w:tcPr>
          <w:p>
            <w:r/>
            <w:r>
              <w:rPr>
                <w:sz w:val="20"/>
              </w:rPr>
              <w:t>84 PB</w:t>
            </w:r>
          </w:p>
        </w:tc>
        <w:tc>
          <w:tcPr>
            <w:tcW w:type="dxa" w:w="2160"/>
            <w:shd w:fill="F2F2F2"/>
          </w:tcPr>
          <w:p>
            <w:r/>
            <w:r>
              <w:rPr>
                <w:sz w:val="20"/>
              </w:rPr>
              <w:t>—</w:t>
            </w:r>
          </w:p>
        </w:tc>
      </w:tr>
      <w:tr>
        <w:tc>
          <w:tcPr>
            <w:tcW w:type="dxa" w:w="4032"/>
          </w:tcPr>
          <w:p>
            <w:r/>
            <w:r>
              <w:rPr>
                <w:sz w:val="20"/>
              </w:rPr>
              <w:t>Total IT load (dual-DC, all systems)</w:t>
            </w:r>
          </w:p>
        </w:tc>
        <w:tc>
          <w:tcPr>
            <w:tcW w:type="dxa" w:w="2448"/>
          </w:tcPr>
          <w:p>
            <w:r/>
            <w:r>
              <w:rPr>
                <w:sz w:val="20"/>
              </w:rPr>
              <w:t>442 kW</w:t>
            </w:r>
          </w:p>
        </w:tc>
        <w:tc>
          <w:tcPr>
            <w:tcW w:type="dxa" w:w="2160"/>
          </w:tcPr>
          <w:p>
            <w:r/>
            <w:r>
              <w:rPr>
                <w:sz w:val="20"/>
              </w:rPr>
              <w:t>—</w:t>
            </w:r>
          </w:p>
        </w:tc>
      </w:tr>
      <w:tr>
        <w:tc>
          <w:tcPr>
            <w:tcW w:type="dxa" w:w="4032"/>
            <w:shd w:fill="F2F2F2"/>
          </w:tcPr>
          <w:p>
            <w:r/>
            <w:r>
              <w:rPr>
                <w:sz w:val="20"/>
              </w:rPr>
              <w:t>Year 0/1 CapEx (full dual-DC build)</w:t>
            </w:r>
          </w:p>
        </w:tc>
        <w:tc>
          <w:tcPr>
            <w:tcW w:type="dxa" w:w="2448"/>
            <w:shd w:fill="F2F2F2"/>
          </w:tcPr>
          <w:p>
            <w:r/>
            <w:r>
              <w:rPr>
                <w:sz w:val="20"/>
              </w:rPr>
              <w:t>$40.5 M</w:t>
            </w:r>
          </w:p>
        </w:tc>
        <w:tc>
          <w:tcPr>
            <w:tcW w:type="dxa" w:w="2160"/>
            <w:shd w:fill="F2F2F2"/>
          </w:tcPr>
          <w:p>
            <w:r/>
            <w:r>
              <w:rPr>
                <w:sz w:val="20"/>
              </w:rPr>
              <w:t>$3.38</w:t>
            </w:r>
          </w:p>
        </w:tc>
      </w:tr>
      <w:tr>
        <w:tc>
          <w:tcPr>
            <w:tcW w:type="dxa" w:w="4032"/>
          </w:tcPr>
          <w:p>
            <w:r/>
            <w:r>
              <w:rPr>
                <w:sz w:val="20"/>
              </w:rPr>
              <w:t>Year 1 on-prem OpEx (power, staff, sw, maint)</w:t>
            </w:r>
          </w:p>
        </w:tc>
        <w:tc>
          <w:tcPr>
            <w:tcW w:type="dxa" w:w="2448"/>
          </w:tcPr>
          <w:p>
            <w:r/>
            <w:r>
              <w:rPr>
                <w:sz w:val="20"/>
              </w:rPr>
              <w:t>$17.0 M</w:t>
            </w:r>
          </w:p>
        </w:tc>
        <w:tc>
          <w:tcPr>
            <w:tcW w:type="dxa" w:w="2160"/>
          </w:tcPr>
          <w:p>
            <w:r/>
            <w:r>
              <w:rPr>
                <w:sz w:val="20"/>
              </w:rPr>
              <w:t>$1.42</w:t>
            </w:r>
          </w:p>
        </w:tc>
      </w:tr>
      <w:tr>
        <w:tc>
          <w:tcPr>
            <w:tcW w:type="dxa" w:w="4032"/>
            <w:shd w:fill="F2F2F2"/>
          </w:tcPr>
          <w:p>
            <w:r/>
            <w:r>
              <w:rPr>
                <w:sz w:val="20"/>
              </w:rPr>
              <w:t>Year 1 CDN + network services</w:t>
            </w:r>
          </w:p>
        </w:tc>
        <w:tc>
          <w:tcPr>
            <w:tcW w:type="dxa" w:w="2448"/>
            <w:shd w:fill="F2F2F2"/>
          </w:tcPr>
          <w:p>
            <w:r/>
            <w:r>
              <w:rPr>
                <w:sz w:val="20"/>
              </w:rPr>
              <w:t>$10.2 M</w:t>
            </w:r>
          </w:p>
        </w:tc>
        <w:tc>
          <w:tcPr>
            <w:tcW w:type="dxa" w:w="2160"/>
            <w:shd w:fill="F2F2F2"/>
          </w:tcPr>
          <w:p>
            <w:r/>
            <w:r>
              <w:rPr>
                <w:sz w:val="20"/>
              </w:rPr>
              <w:t>$0.85</w:t>
            </w:r>
          </w:p>
        </w:tc>
      </w:tr>
      <w:tr>
        <w:tc>
          <w:tcPr>
            <w:tcW w:type="dxa" w:w="4032"/>
          </w:tcPr>
          <w:p>
            <w:r/>
            <w:r>
              <w:rPr>
                <w:sz w:val="20"/>
              </w:rPr>
              <w:t>Year 1 ADAM governance overlay</w:t>
            </w:r>
          </w:p>
        </w:tc>
        <w:tc>
          <w:tcPr>
            <w:tcW w:type="dxa" w:w="2448"/>
          </w:tcPr>
          <w:p>
            <w:r/>
            <w:r>
              <w:rPr>
                <w:sz w:val="20"/>
              </w:rPr>
              <w:t>$3.6 M</w:t>
            </w:r>
          </w:p>
        </w:tc>
        <w:tc>
          <w:tcPr>
            <w:tcW w:type="dxa" w:w="2160"/>
          </w:tcPr>
          <w:p>
            <w:r/>
            <w:r>
              <w:rPr>
                <w:sz w:val="20"/>
              </w:rPr>
              <w:t>$0.30</w:t>
            </w:r>
          </w:p>
        </w:tc>
      </w:tr>
      <w:tr>
        <w:tc>
          <w:tcPr>
            <w:tcW w:type="dxa" w:w="4032"/>
            <w:shd w:fill="F2F2F2"/>
          </w:tcPr>
          <w:p>
            <w:r/>
            <w:r>
              <w:rPr>
                <w:sz w:val="20"/>
              </w:rPr>
              <w:t>TOTAL Year 1 CASH outlay</w:t>
            </w:r>
          </w:p>
        </w:tc>
        <w:tc>
          <w:tcPr>
            <w:tcW w:type="dxa" w:w="2448"/>
            <w:shd w:fill="F2F2F2"/>
          </w:tcPr>
          <w:p>
            <w:r/>
            <w:r>
              <w:rPr>
                <w:sz w:val="20"/>
              </w:rPr>
              <w:t>$71.4 M</w:t>
            </w:r>
          </w:p>
        </w:tc>
        <w:tc>
          <w:tcPr>
            <w:tcW w:type="dxa" w:w="2160"/>
            <w:shd w:fill="F2F2F2"/>
          </w:tcPr>
          <w:p>
            <w:r/>
            <w:r>
              <w:rPr>
                <w:sz w:val="20"/>
              </w:rPr>
              <w:t>$5.95</w:t>
            </w:r>
          </w:p>
        </w:tc>
      </w:tr>
      <w:tr>
        <w:tc>
          <w:tcPr>
            <w:tcW w:type="dxa" w:w="4032"/>
          </w:tcPr>
          <w:p>
            <w:r/>
            <w:r>
              <w:rPr>
                <w:sz w:val="20"/>
              </w:rPr>
              <w:t>Annual run-rate (CapEx amortized 5y)</w:t>
            </w:r>
          </w:p>
        </w:tc>
        <w:tc>
          <w:tcPr>
            <w:tcW w:type="dxa" w:w="2448"/>
          </w:tcPr>
          <w:p>
            <w:r/>
            <w:r>
              <w:rPr>
                <w:sz w:val="20"/>
              </w:rPr>
              <w:t>$39.0 M</w:t>
            </w:r>
          </w:p>
        </w:tc>
        <w:tc>
          <w:tcPr>
            <w:tcW w:type="dxa" w:w="2160"/>
          </w:tcPr>
          <w:p>
            <w:r/>
            <w:r>
              <w:rPr>
                <w:sz w:val="20"/>
              </w:rPr>
              <w:t>$3.25</w:t>
            </w:r>
          </w:p>
        </w:tc>
      </w:tr>
      <w:tr>
        <w:tc>
          <w:tcPr>
            <w:tcW w:type="dxa" w:w="4032"/>
            <w:shd w:fill="F2F2F2"/>
          </w:tcPr>
          <w:p>
            <w:r/>
            <w:r>
              <w:rPr>
                <w:sz w:val="20"/>
              </w:rPr>
              <w:t>Net revenue (Year 1, at recommended prices)</w:t>
            </w:r>
          </w:p>
        </w:tc>
        <w:tc>
          <w:tcPr>
            <w:tcW w:type="dxa" w:w="2448"/>
            <w:shd w:fill="F2F2F2"/>
          </w:tcPr>
          <w:p>
            <w:r/>
            <w:r>
              <w:rPr>
                <w:sz w:val="20"/>
              </w:rPr>
              <w:t>$195.5 M</w:t>
            </w:r>
          </w:p>
        </w:tc>
        <w:tc>
          <w:tcPr>
            <w:tcW w:type="dxa" w:w="2160"/>
            <w:shd w:fill="F2F2F2"/>
          </w:tcPr>
          <w:p>
            <w:r/>
            <w:r>
              <w:rPr>
                <w:sz w:val="20"/>
              </w:rPr>
              <w:t>$16.29</w:t>
            </w:r>
          </w:p>
        </w:tc>
      </w:tr>
      <w:tr>
        <w:tc>
          <w:tcPr>
            <w:tcW w:type="dxa" w:w="4032"/>
            <w:shd w:fill="C6EFCE"/>
          </w:tcPr>
          <w:p>
            <w:r/>
            <w:r>
              <w:rPr>
                <w:b/>
                <w:sz w:val="20"/>
              </w:rPr>
              <w:t>Operating income (Year 1, P&amp;L view)</w:t>
            </w:r>
          </w:p>
        </w:tc>
        <w:tc>
          <w:tcPr>
            <w:tcW w:type="dxa" w:w="2448"/>
            <w:shd w:fill="C6EFCE"/>
          </w:tcPr>
          <w:p>
            <w:r/>
            <w:r>
              <w:rPr>
                <w:b/>
                <w:sz w:val="20"/>
              </w:rPr>
              <w:t>$100.8 M (52%)</w:t>
            </w:r>
          </w:p>
        </w:tc>
        <w:tc>
          <w:tcPr>
            <w:tcW w:type="dxa" w:w="2160"/>
            <w:shd w:fill="C6EFCE"/>
          </w:tcPr>
          <w:p>
            <w:r/>
            <w:r>
              <w:rPr>
                <w:b/>
                <w:sz w:val="20"/>
              </w:rPr>
              <w:t>$8.40</w:t>
            </w:r>
          </w:p>
        </w:tc>
      </w:tr>
    </w:tbl>
    <w:p/>
    <w:p>
      <w:pPr>
        <w:pStyle w:val="Heading3"/>
        <w:spacing w:before="200" w:after="40"/>
      </w:pPr>
      <w:r>
        <w:rPr>
          <w:b/>
          <w:color w:val="2E75B6"/>
          <w:sz w:val="24"/>
        </w:rPr>
        <w:t>Five-year outlook (Scenario C — Recommended pricing)</w:t>
      </w:r>
    </w:p>
    <w:tbl>
      <w:tblPr>
        <w:tblW w:type="auto" w:w="0"/>
        <w:jc w:val="center"/>
        <w:tblLayout w:type="fixed"/>
        <w:tblLook w:firstColumn="1" w:firstRow="1" w:lastColumn="0" w:lastRow="0" w:noHBand="0" w:noVBand="1" w:val="04A0"/>
      </w:tblPr>
      <w:tblGrid>
        <w:gridCol w:w="1337"/>
        <w:gridCol w:w="1337"/>
        <w:gridCol w:w="1337"/>
        <w:gridCol w:w="1337"/>
        <w:gridCol w:w="1337"/>
        <w:gridCol w:w="1337"/>
        <w:gridCol w:w="1337"/>
      </w:tblGrid>
      <w:tr>
        <w:tc>
          <w:tcPr>
            <w:tcW w:type="dxa" w:w="2160"/>
            <w:shd w:fill="1F3864"/>
            <w:vAlign w:val="center"/>
          </w:tcPr>
          <w:p>
            <w:r/>
            <w:r>
              <w:rPr>
                <w:b/>
                <w:color w:val="FFFFFF"/>
                <w:sz w:val="21"/>
              </w:rPr>
              <w:t>$M</w:t>
            </w:r>
          </w:p>
        </w:tc>
        <w:tc>
          <w:tcPr>
            <w:tcW w:type="dxa" w:w="1224"/>
            <w:shd w:fill="1F3864"/>
            <w:vAlign w:val="center"/>
          </w:tcPr>
          <w:p>
            <w:r/>
            <w:r>
              <w:rPr>
                <w:b/>
                <w:color w:val="FFFFFF"/>
                <w:sz w:val="21"/>
              </w:rPr>
              <w:t>Year 1</w:t>
            </w:r>
          </w:p>
        </w:tc>
        <w:tc>
          <w:tcPr>
            <w:tcW w:type="dxa" w:w="1224"/>
            <w:shd w:fill="1F3864"/>
            <w:vAlign w:val="center"/>
          </w:tcPr>
          <w:p>
            <w:r/>
            <w:r>
              <w:rPr>
                <w:b/>
                <w:color w:val="FFFFFF"/>
                <w:sz w:val="21"/>
              </w:rPr>
              <w:t>Year 2</w:t>
            </w:r>
          </w:p>
        </w:tc>
        <w:tc>
          <w:tcPr>
            <w:tcW w:type="dxa" w:w="1224"/>
            <w:shd w:fill="1F3864"/>
            <w:vAlign w:val="center"/>
          </w:tcPr>
          <w:p>
            <w:r/>
            <w:r>
              <w:rPr>
                <w:b/>
                <w:color w:val="FFFFFF"/>
                <w:sz w:val="21"/>
              </w:rPr>
              <w:t>Year 3</w:t>
            </w:r>
          </w:p>
        </w:tc>
        <w:tc>
          <w:tcPr>
            <w:tcW w:type="dxa" w:w="1224"/>
            <w:shd w:fill="1F3864"/>
            <w:vAlign w:val="center"/>
          </w:tcPr>
          <w:p>
            <w:r/>
            <w:r>
              <w:rPr>
                <w:b/>
                <w:color w:val="FFFFFF"/>
                <w:sz w:val="21"/>
              </w:rPr>
              <w:t>Year 4</w:t>
            </w:r>
          </w:p>
        </w:tc>
        <w:tc>
          <w:tcPr>
            <w:tcW w:type="dxa" w:w="1224"/>
            <w:shd w:fill="1F3864"/>
            <w:vAlign w:val="center"/>
          </w:tcPr>
          <w:p>
            <w:r/>
            <w:r>
              <w:rPr>
                <w:b/>
                <w:color w:val="FFFFFF"/>
                <w:sz w:val="21"/>
              </w:rPr>
              <w:t>Year 5</w:t>
            </w:r>
          </w:p>
        </w:tc>
        <w:tc>
          <w:tcPr>
            <w:tcW w:type="dxa" w:w="1512"/>
            <w:shd w:fill="1F3864"/>
            <w:vAlign w:val="center"/>
          </w:tcPr>
          <w:p>
            <w:r/>
            <w:r>
              <w:rPr>
                <w:b/>
                <w:color w:val="FFFFFF"/>
                <w:sz w:val="21"/>
              </w:rPr>
              <w:t>Cum. 5yr</w:t>
            </w:r>
          </w:p>
        </w:tc>
      </w:tr>
      <w:tr>
        <w:tc>
          <w:tcPr>
            <w:tcW w:type="dxa" w:w="2160"/>
          </w:tcPr>
          <w:p>
            <w:r/>
            <w:r>
              <w:rPr>
                <w:sz w:val="20"/>
              </w:rPr>
              <w:t>Subscribers (M)</w:t>
            </w:r>
          </w:p>
        </w:tc>
        <w:tc>
          <w:tcPr>
            <w:tcW w:type="dxa" w:w="1224"/>
          </w:tcPr>
          <w:p>
            <w:r/>
            <w:r>
              <w:rPr>
                <w:sz w:val="20"/>
              </w:rPr>
              <w:t>1.00</w:t>
            </w:r>
          </w:p>
        </w:tc>
        <w:tc>
          <w:tcPr>
            <w:tcW w:type="dxa" w:w="1224"/>
          </w:tcPr>
          <w:p>
            <w:r/>
            <w:r>
              <w:rPr>
                <w:sz w:val="20"/>
              </w:rPr>
              <w:t>1.12</w:t>
            </w:r>
          </w:p>
        </w:tc>
        <w:tc>
          <w:tcPr>
            <w:tcW w:type="dxa" w:w="1224"/>
          </w:tcPr>
          <w:p>
            <w:r/>
            <w:r>
              <w:rPr>
                <w:sz w:val="20"/>
              </w:rPr>
              <w:t>1.25</w:t>
            </w:r>
          </w:p>
        </w:tc>
        <w:tc>
          <w:tcPr>
            <w:tcW w:type="dxa" w:w="1224"/>
          </w:tcPr>
          <w:p>
            <w:r/>
            <w:r>
              <w:rPr>
                <w:sz w:val="20"/>
              </w:rPr>
              <w:t>1.40</w:t>
            </w:r>
          </w:p>
        </w:tc>
        <w:tc>
          <w:tcPr>
            <w:tcW w:type="dxa" w:w="1224"/>
          </w:tcPr>
          <w:p>
            <w:r/>
            <w:r>
              <w:rPr>
                <w:sz w:val="20"/>
              </w:rPr>
              <w:t>1.57</w:t>
            </w:r>
          </w:p>
        </w:tc>
        <w:tc>
          <w:tcPr>
            <w:tcW w:type="dxa" w:w="1512"/>
          </w:tcPr>
          <w:p>
            <w:r/>
            <w:r>
              <w:rPr>
                <w:sz w:val="20"/>
              </w:rPr>
              <w:t>—</w:t>
            </w:r>
          </w:p>
        </w:tc>
      </w:tr>
      <w:tr>
        <w:tc>
          <w:tcPr>
            <w:tcW w:type="dxa" w:w="2160"/>
            <w:shd w:fill="F2F2F2"/>
          </w:tcPr>
          <w:p>
            <w:r/>
            <w:r>
              <w:rPr>
                <w:sz w:val="20"/>
              </w:rPr>
              <w:t>Total revenue</w:t>
            </w:r>
          </w:p>
        </w:tc>
        <w:tc>
          <w:tcPr>
            <w:tcW w:type="dxa" w:w="1224"/>
            <w:shd w:fill="F2F2F2"/>
          </w:tcPr>
          <w:p>
            <w:r/>
            <w:r>
              <w:rPr>
                <w:sz w:val="20"/>
              </w:rPr>
              <w:t>$195</w:t>
            </w:r>
          </w:p>
        </w:tc>
        <w:tc>
          <w:tcPr>
            <w:tcW w:type="dxa" w:w="1224"/>
            <w:shd w:fill="F2F2F2"/>
          </w:tcPr>
          <w:p>
            <w:r/>
            <w:r>
              <w:rPr>
                <w:sz w:val="20"/>
              </w:rPr>
              <w:t>$219</w:t>
            </w:r>
          </w:p>
        </w:tc>
        <w:tc>
          <w:tcPr>
            <w:tcW w:type="dxa" w:w="1224"/>
            <w:shd w:fill="F2F2F2"/>
          </w:tcPr>
          <w:p>
            <w:r/>
            <w:r>
              <w:rPr>
                <w:sz w:val="20"/>
              </w:rPr>
              <w:t>$245</w:t>
            </w:r>
          </w:p>
        </w:tc>
        <w:tc>
          <w:tcPr>
            <w:tcW w:type="dxa" w:w="1224"/>
            <w:shd w:fill="F2F2F2"/>
          </w:tcPr>
          <w:p>
            <w:r/>
            <w:r>
              <w:rPr>
                <w:sz w:val="20"/>
              </w:rPr>
              <w:t>$275</w:t>
            </w:r>
          </w:p>
        </w:tc>
        <w:tc>
          <w:tcPr>
            <w:tcW w:type="dxa" w:w="1224"/>
            <w:shd w:fill="F2F2F2"/>
          </w:tcPr>
          <w:p>
            <w:r/>
            <w:r>
              <w:rPr>
                <w:sz w:val="20"/>
              </w:rPr>
              <w:t>$308</w:t>
            </w:r>
          </w:p>
        </w:tc>
        <w:tc>
          <w:tcPr>
            <w:tcW w:type="dxa" w:w="1512"/>
            <w:shd w:fill="F2F2F2"/>
          </w:tcPr>
          <w:p>
            <w:r/>
            <w:r>
              <w:rPr>
                <w:sz w:val="20"/>
              </w:rPr>
              <w:t>$1,242</w:t>
            </w:r>
          </w:p>
        </w:tc>
      </w:tr>
      <w:tr>
        <w:tc>
          <w:tcPr>
            <w:tcW w:type="dxa" w:w="2160"/>
          </w:tcPr>
          <w:p>
            <w:r/>
            <w:r>
              <w:rPr>
                <w:sz w:val="20"/>
              </w:rPr>
              <w:t>Content investment</w:t>
            </w:r>
          </w:p>
        </w:tc>
        <w:tc>
          <w:tcPr>
            <w:tcW w:type="dxa" w:w="1224"/>
          </w:tcPr>
          <w:p>
            <w:r/>
            <w:r>
              <w:rPr>
                <w:sz w:val="20"/>
              </w:rPr>
              <w:t>$82</w:t>
            </w:r>
          </w:p>
        </w:tc>
        <w:tc>
          <w:tcPr>
            <w:tcW w:type="dxa" w:w="1224"/>
          </w:tcPr>
          <w:p>
            <w:r/>
            <w:r>
              <w:rPr>
                <w:sz w:val="20"/>
              </w:rPr>
              <w:t>$92</w:t>
            </w:r>
          </w:p>
        </w:tc>
        <w:tc>
          <w:tcPr>
            <w:tcW w:type="dxa" w:w="1224"/>
          </w:tcPr>
          <w:p>
            <w:r/>
            <w:r>
              <w:rPr>
                <w:sz w:val="20"/>
              </w:rPr>
              <w:t>$103</w:t>
            </w:r>
          </w:p>
        </w:tc>
        <w:tc>
          <w:tcPr>
            <w:tcW w:type="dxa" w:w="1224"/>
          </w:tcPr>
          <w:p>
            <w:r/>
            <w:r>
              <w:rPr>
                <w:sz w:val="20"/>
              </w:rPr>
              <w:t>$115</w:t>
            </w:r>
          </w:p>
        </w:tc>
        <w:tc>
          <w:tcPr>
            <w:tcW w:type="dxa" w:w="1224"/>
          </w:tcPr>
          <w:p>
            <w:r/>
            <w:r>
              <w:rPr>
                <w:sz w:val="20"/>
              </w:rPr>
              <w:t>$129</w:t>
            </w:r>
          </w:p>
        </w:tc>
        <w:tc>
          <w:tcPr>
            <w:tcW w:type="dxa" w:w="1512"/>
          </w:tcPr>
          <w:p>
            <w:r/>
            <w:r>
              <w:rPr>
                <w:sz w:val="20"/>
              </w:rPr>
              <w:t>$521</w:t>
            </w:r>
          </w:p>
        </w:tc>
      </w:tr>
      <w:tr>
        <w:tc>
          <w:tcPr>
            <w:tcW w:type="dxa" w:w="2160"/>
            <w:shd w:fill="F2F2F2"/>
          </w:tcPr>
          <w:p>
            <w:r/>
            <w:r>
              <w:rPr>
                <w:sz w:val="20"/>
              </w:rPr>
              <w:t>Content amortization (P&amp;L)</w:t>
            </w:r>
          </w:p>
        </w:tc>
        <w:tc>
          <w:tcPr>
            <w:tcW w:type="dxa" w:w="1224"/>
            <w:shd w:fill="F2F2F2"/>
          </w:tcPr>
          <w:p>
            <w:r/>
            <w:r>
              <w:rPr>
                <w:sz w:val="20"/>
              </w:rPr>
              <w:t>$21</w:t>
            </w:r>
          </w:p>
        </w:tc>
        <w:tc>
          <w:tcPr>
            <w:tcW w:type="dxa" w:w="1224"/>
            <w:shd w:fill="F2F2F2"/>
          </w:tcPr>
          <w:p>
            <w:r/>
            <w:r>
              <w:rPr>
                <w:sz w:val="20"/>
              </w:rPr>
              <w:t>$44</w:t>
            </w:r>
          </w:p>
        </w:tc>
        <w:tc>
          <w:tcPr>
            <w:tcW w:type="dxa" w:w="1224"/>
            <w:shd w:fill="F2F2F2"/>
          </w:tcPr>
          <w:p>
            <w:r/>
            <w:r>
              <w:rPr>
                <w:sz w:val="20"/>
              </w:rPr>
              <w:t>$69</w:t>
            </w:r>
          </w:p>
        </w:tc>
        <w:tc>
          <w:tcPr>
            <w:tcW w:type="dxa" w:w="1224"/>
            <w:shd w:fill="F2F2F2"/>
          </w:tcPr>
          <w:p>
            <w:r/>
            <w:r>
              <w:rPr>
                <w:sz w:val="20"/>
              </w:rPr>
              <w:t>$98</w:t>
            </w:r>
          </w:p>
        </w:tc>
        <w:tc>
          <w:tcPr>
            <w:tcW w:type="dxa" w:w="1224"/>
            <w:shd w:fill="F2F2F2"/>
          </w:tcPr>
          <w:p>
            <w:r/>
            <w:r>
              <w:rPr>
                <w:sz w:val="20"/>
              </w:rPr>
              <w:t>$110</w:t>
            </w:r>
          </w:p>
        </w:tc>
        <w:tc>
          <w:tcPr>
            <w:tcW w:type="dxa" w:w="1512"/>
            <w:shd w:fill="F2F2F2"/>
          </w:tcPr>
          <w:p>
            <w:r/>
            <w:r>
              <w:rPr>
                <w:sz w:val="20"/>
              </w:rPr>
              <w:t>$342</w:t>
            </w:r>
          </w:p>
        </w:tc>
      </w:tr>
      <w:tr>
        <w:tc>
          <w:tcPr>
            <w:tcW w:type="dxa" w:w="2160"/>
          </w:tcPr>
          <w:p>
            <w:r/>
            <w:r>
              <w:rPr>
                <w:sz w:val="20"/>
              </w:rPr>
              <w:t>ADAM / IT run-rate (amort+opex)</w:t>
            </w:r>
          </w:p>
        </w:tc>
        <w:tc>
          <w:tcPr>
            <w:tcW w:type="dxa" w:w="1224"/>
          </w:tcPr>
          <w:p>
            <w:r/>
            <w:r>
              <w:rPr>
                <w:sz w:val="20"/>
              </w:rPr>
              <w:t>$39</w:t>
            </w:r>
          </w:p>
        </w:tc>
        <w:tc>
          <w:tcPr>
            <w:tcW w:type="dxa" w:w="1224"/>
          </w:tcPr>
          <w:p>
            <w:r/>
            <w:r>
              <w:rPr>
                <w:sz w:val="20"/>
              </w:rPr>
              <w:t>$39</w:t>
            </w:r>
          </w:p>
        </w:tc>
        <w:tc>
          <w:tcPr>
            <w:tcW w:type="dxa" w:w="1224"/>
          </w:tcPr>
          <w:p>
            <w:r/>
            <w:r>
              <w:rPr>
                <w:sz w:val="20"/>
              </w:rPr>
              <w:t>$39</w:t>
            </w:r>
          </w:p>
        </w:tc>
        <w:tc>
          <w:tcPr>
            <w:tcW w:type="dxa" w:w="1224"/>
          </w:tcPr>
          <w:p>
            <w:r/>
            <w:r>
              <w:rPr>
                <w:sz w:val="20"/>
              </w:rPr>
              <w:t>$47</w:t>
            </w:r>
          </w:p>
        </w:tc>
        <w:tc>
          <w:tcPr>
            <w:tcW w:type="dxa" w:w="1224"/>
          </w:tcPr>
          <w:p>
            <w:r/>
            <w:r>
              <w:rPr>
                <w:sz w:val="20"/>
              </w:rPr>
              <w:t>$50</w:t>
            </w:r>
          </w:p>
        </w:tc>
        <w:tc>
          <w:tcPr>
            <w:tcW w:type="dxa" w:w="1512"/>
          </w:tcPr>
          <w:p>
            <w:r/>
            <w:r>
              <w:rPr>
                <w:sz w:val="20"/>
              </w:rPr>
              <w:t>$214</w:t>
            </w:r>
          </w:p>
        </w:tc>
      </w:tr>
      <w:tr>
        <w:tc>
          <w:tcPr>
            <w:tcW w:type="dxa" w:w="2160"/>
            <w:shd w:fill="F2F2F2"/>
          </w:tcPr>
          <w:p>
            <w:r/>
            <w:r>
              <w:rPr>
                <w:sz w:val="20"/>
              </w:rPr>
              <w:t>CDN &amp; network (scales with subs)</w:t>
            </w:r>
          </w:p>
        </w:tc>
        <w:tc>
          <w:tcPr>
            <w:tcW w:type="dxa" w:w="1224"/>
            <w:shd w:fill="F2F2F2"/>
          </w:tcPr>
          <w:p>
            <w:r/>
            <w:r>
              <w:rPr>
                <w:sz w:val="20"/>
              </w:rPr>
              <w:t>$10</w:t>
            </w:r>
          </w:p>
        </w:tc>
        <w:tc>
          <w:tcPr>
            <w:tcW w:type="dxa" w:w="1224"/>
            <w:shd w:fill="F2F2F2"/>
          </w:tcPr>
          <w:p>
            <w:r/>
            <w:r>
              <w:rPr>
                <w:sz w:val="20"/>
              </w:rPr>
              <w:t>$11</w:t>
            </w:r>
          </w:p>
        </w:tc>
        <w:tc>
          <w:tcPr>
            <w:tcW w:type="dxa" w:w="1224"/>
            <w:shd w:fill="F2F2F2"/>
          </w:tcPr>
          <w:p>
            <w:r/>
            <w:r>
              <w:rPr>
                <w:sz w:val="20"/>
              </w:rPr>
              <w:t>$13</w:t>
            </w:r>
          </w:p>
        </w:tc>
        <w:tc>
          <w:tcPr>
            <w:tcW w:type="dxa" w:w="1224"/>
            <w:shd w:fill="F2F2F2"/>
          </w:tcPr>
          <w:p>
            <w:r/>
            <w:r>
              <w:rPr>
                <w:sz w:val="20"/>
              </w:rPr>
              <w:t>$14</w:t>
            </w:r>
          </w:p>
        </w:tc>
        <w:tc>
          <w:tcPr>
            <w:tcW w:type="dxa" w:w="1224"/>
            <w:shd w:fill="F2F2F2"/>
          </w:tcPr>
          <w:p>
            <w:r/>
            <w:r>
              <w:rPr>
                <w:sz w:val="20"/>
              </w:rPr>
              <w:t>$16</w:t>
            </w:r>
          </w:p>
        </w:tc>
        <w:tc>
          <w:tcPr>
            <w:tcW w:type="dxa" w:w="1512"/>
            <w:shd w:fill="F2F2F2"/>
          </w:tcPr>
          <w:p>
            <w:r/>
            <w:r>
              <w:rPr>
                <w:sz w:val="20"/>
              </w:rPr>
              <w:t>$64</w:t>
            </w:r>
          </w:p>
        </w:tc>
      </w:tr>
      <w:tr>
        <w:tc>
          <w:tcPr>
            <w:tcW w:type="dxa" w:w="2160"/>
          </w:tcPr>
          <w:p>
            <w:r/>
            <w:r>
              <w:rPr>
                <w:sz w:val="20"/>
              </w:rPr>
              <w:t>Operating income</w:t>
            </w:r>
          </w:p>
        </w:tc>
        <w:tc>
          <w:tcPr>
            <w:tcW w:type="dxa" w:w="1224"/>
          </w:tcPr>
          <w:p>
            <w:r/>
            <w:r>
              <w:rPr>
                <w:sz w:val="20"/>
              </w:rPr>
              <w:t>$101</w:t>
            </w:r>
          </w:p>
        </w:tc>
        <w:tc>
          <w:tcPr>
            <w:tcW w:type="dxa" w:w="1224"/>
          </w:tcPr>
          <w:p>
            <w:r/>
            <w:r>
              <w:rPr>
                <w:sz w:val="20"/>
              </w:rPr>
              <w:t>$79</w:t>
            </w:r>
          </w:p>
        </w:tc>
        <w:tc>
          <w:tcPr>
            <w:tcW w:type="dxa" w:w="1224"/>
          </w:tcPr>
          <w:p>
            <w:r/>
            <w:r>
              <w:rPr>
                <w:sz w:val="20"/>
              </w:rPr>
              <w:t>$63</w:t>
            </w:r>
          </w:p>
        </w:tc>
        <w:tc>
          <w:tcPr>
            <w:tcW w:type="dxa" w:w="1224"/>
          </w:tcPr>
          <w:p>
            <w:r/>
            <w:r>
              <w:rPr>
                <w:sz w:val="20"/>
              </w:rPr>
              <w:t>$26</w:t>
            </w:r>
          </w:p>
        </w:tc>
        <w:tc>
          <w:tcPr>
            <w:tcW w:type="dxa" w:w="1224"/>
          </w:tcPr>
          <w:p>
            <w:r/>
            <w:r>
              <w:rPr>
                <w:sz w:val="20"/>
              </w:rPr>
              <w:t>-$10</w:t>
            </w:r>
          </w:p>
        </w:tc>
        <w:tc>
          <w:tcPr>
            <w:tcW w:type="dxa" w:w="1512"/>
          </w:tcPr>
          <w:p>
            <w:r/>
            <w:r>
              <w:rPr>
                <w:sz w:val="20"/>
              </w:rPr>
              <w:t>$259</w:t>
            </w:r>
          </w:p>
        </w:tc>
      </w:tr>
      <w:tr>
        <w:tc>
          <w:tcPr>
            <w:tcW w:type="dxa" w:w="2160"/>
            <w:shd w:fill="C6EFCE"/>
          </w:tcPr>
          <w:p>
            <w:r/>
            <w:r>
              <w:rPr>
                <w:b/>
                <w:sz w:val="20"/>
              </w:rPr>
              <w:t>Op margin %</w:t>
            </w:r>
          </w:p>
        </w:tc>
        <w:tc>
          <w:tcPr>
            <w:tcW w:type="dxa" w:w="1224"/>
            <w:shd w:fill="C6EFCE"/>
          </w:tcPr>
          <w:p>
            <w:r/>
            <w:r>
              <w:rPr>
                <w:b/>
                <w:sz w:val="20"/>
              </w:rPr>
              <w:t>52%</w:t>
            </w:r>
          </w:p>
        </w:tc>
        <w:tc>
          <w:tcPr>
            <w:tcW w:type="dxa" w:w="1224"/>
            <w:shd w:fill="C6EFCE"/>
          </w:tcPr>
          <w:p>
            <w:r/>
            <w:r>
              <w:rPr>
                <w:b/>
                <w:sz w:val="20"/>
              </w:rPr>
              <w:t>36%</w:t>
            </w:r>
          </w:p>
        </w:tc>
        <w:tc>
          <w:tcPr>
            <w:tcW w:type="dxa" w:w="1224"/>
            <w:shd w:fill="C6EFCE"/>
          </w:tcPr>
          <w:p>
            <w:r/>
            <w:r>
              <w:rPr>
                <w:b/>
                <w:sz w:val="20"/>
              </w:rPr>
              <w:t>26%</w:t>
            </w:r>
          </w:p>
        </w:tc>
        <w:tc>
          <w:tcPr>
            <w:tcW w:type="dxa" w:w="1224"/>
            <w:shd w:fill="C6EFCE"/>
          </w:tcPr>
          <w:p>
            <w:r/>
            <w:r>
              <w:rPr>
                <w:b/>
                <w:sz w:val="20"/>
              </w:rPr>
              <w:t>9%</w:t>
            </w:r>
          </w:p>
        </w:tc>
        <w:tc>
          <w:tcPr>
            <w:tcW w:type="dxa" w:w="1224"/>
            <w:shd w:fill="C6EFCE"/>
          </w:tcPr>
          <w:p>
            <w:r/>
            <w:r>
              <w:rPr>
                <w:b/>
                <w:sz w:val="20"/>
              </w:rPr>
              <w:t>-3%</w:t>
            </w:r>
          </w:p>
        </w:tc>
        <w:tc>
          <w:tcPr>
            <w:tcW w:type="dxa" w:w="1512"/>
            <w:shd w:fill="C6EFCE"/>
          </w:tcPr>
          <w:p>
            <w:r/>
            <w:r>
              <w:rPr>
                <w:b/>
                <w:sz w:val="20"/>
              </w:rPr>
              <w:t>21% avg</w:t>
            </w:r>
          </w:p>
        </w:tc>
      </w:tr>
    </w:tbl>
    <w:p>
      <w:pPr>
        <w:spacing w:after="120"/>
      </w:pPr>
      <w:r>
        <w:rPr>
          <w:b w:val="0"/>
          <w:i/>
          <w:sz w:val="22"/>
        </w:rPr>
        <w:t>The Year 4-5 margin compression is driven by content amortization catching up with content investment (a mature-library effect, not a sovereign-infrastructure effect). The IT run-rate is flat across years — which is the central economic argument for on-prem at this scale.</w:t>
      </w:r>
    </w:p>
    <w:p>
      <w:pPr>
        <w:pStyle w:val="Heading3"/>
        <w:spacing w:before="200" w:after="40"/>
      </w:pPr>
      <w:r>
        <w:rPr>
          <w:b/>
          <w:color w:val="2E75B6"/>
          <w:sz w:val="24"/>
        </w:rPr>
        <w:t>Sovereign vs Multi-cloud — side-by-side at same 1M-sub workload</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3312"/>
            <w:shd w:fill="1F3864"/>
            <w:vAlign w:val="center"/>
          </w:tcPr>
          <w:p>
            <w:r/>
            <w:r>
              <w:rPr>
                <w:b/>
                <w:color w:val="FFFFFF"/>
                <w:sz w:val="21"/>
              </w:rPr>
              <w:t>Metric</w:t>
            </w:r>
          </w:p>
        </w:tc>
        <w:tc>
          <w:tcPr>
            <w:tcW w:type="dxa" w:w="2376"/>
            <w:shd w:fill="1F3864"/>
            <w:vAlign w:val="center"/>
          </w:tcPr>
          <w:p>
            <w:r/>
            <w:r>
              <w:rPr>
                <w:b/>
                <w:color w:val="FFFFFF"/>
                <w:sz w:val="21"/>
              </w:rPr>
              <w:t>Sovereign On-Prem</w:t>
            </w:r>
          </w:p>
        </w:tc>
        <w:tc>
          <w:tcPr>
            <w:tcW w:type="dxa" w:w="2376"/>
            <w:shd w:fill="1F3864"/>
            <w:vAlign w:val="center"/>
          </w:tcPr>
          <w:p>
            <w:r/>
            <w:r>
              <w:rPr>
                <w:b/>
                <w:color w:val="FFFFFF"/>
                <w:sz w:val="21"/>
              </w:rPr>
              <w:t>Multi-Cloud (Azure+AWS)</w:t>
            </w:r>
          </w:p>
        </w:tc>
        <w:tc>
          <w:tcPr>
            <w:tcW w:type="dxa" w:w="1872"/>
            <w:shd w:fill="1F3864"/>
            <w:vAlign w:val="center"/>
          </w:tcPr>
          <w:p>
            <w:r/>
            <w:r>
              <w:rPr>
                <w:b/>
                <w:color w:val="FFFFFF"/>
                <w:sz w:val="21"/>
              </w:rPr>
              <w:t>Delta</w:t>
            </w:r>
          </w:p>
        </w:tc>
      </w:tr>
      <w:tr>
        <w:tc>
          <w:tcPr>
            <w:tcW w:type="dxa" w:w="3312"/>
          </w:tcPr>
          <w:p>
            <w:r/>
            <w:r>
              <w:rPr>
                <w:sz w:val="20"/>
              </w:rPr>
              <w:t>Annual run-rate (Y1, amortized)</w:t>
            </w:r>
          </w:p>
        </w:tc>
        <w:tc>
          <w:tcPr>
            <w:tcW w:type="dxa" w:w="2376"/>
          </w:tcPr>
          <w:p>
            <w:r/>
            <w:r>
              <w:rPr>
                <w:sz w:val="20"/>
              </w:rPr>
              <w:t>$39.0 M</w:t>
            </w:r>
          </w:p>
        </w:tc>
        <w:tc>
          <w:tcPr>
            <w:tcW w:type="dxa" w:w="2376"/>
          </w:tcPr>
          <w:p>
            <w:r/>
            <w:r>
              <w:rPr>
                <w:sz w:val="20"/>
              </w:rPr>
              <w:t>$47.5 M</w:t>
            </w:r>
          </w:p>
        </w:tc>
        <w:tc>
          <w:tcPr>
            <w:tcW w:type="dxa" w:w="1872"/>
          </w:tcPr>
          <w:p>
            <w:r/>
            <w:r>
              <w:rPr>
                <w:sz w:val="20"/>
              </w:rPr>
              <w:t>−$8.5 M (on-prem wins)</w:t>
            </w:r>
          </w:p>
        </w:tc>
      </w:tr>
      <w:tr>
        <w:tc>
          <w:tcPr>
            <w:tcW w:type="dxa" w:w="3312"/>
            <w:shd w:fill="F2F2F2"/>
          </w:tcPr>
          <w:p>
            <w:r/>
            <w:r>
              <w:rPr>
                <w:sz w:val="20"/>
              </w:rPr>
              <w:t>Year 1 CASH outlay</w:t>
            </w:r>
          </w:p>
        </w:tc>
        <w:tc>
          <w:tcPr>
            <w:tcW w:type="dxa" w:w="2376"/>
            <w:shd w:fill="F2F2F2"/>
          </w:tcPr>
          <w:p>
            <w:r/>
            <w:r>
              <w:rPr>
                <w:sz w:val="20"/>
              </w:rPr>
              <w:t>$71.4 M</w:t>
            </w:r>
          </w:p>
        </w:tc>
        <w:tc>
          <w:tcPr>
            <w:tcW w:type="dxa" w:w="2376"/>
            <w:shd w:fill="F2F2F2"/>
          </w:tcPr>
          <w:p>
            <w:r/>
            <w:r>
              <w:rPr>
                <w:sz w:val="20"/>
              </w:rPr>
              <w:t>$47.5 M</w:t>
            </w:r>
          </w:p>
        </w:tc>
        <w:tc>
          <w:tcPr>
            <w:tcW w:type="dxa" w:w="1872"/>
            <w:shd w:fill="F2F2F2"/>
          </w:tcPr>
          <w:p>
            <w:r/>
            <w:r>
              <w:rPr>
                <w:sz w:val="20"/>
              </w:rPr>
              <w:t>+$23.9 M (CapEx upfront)</w:t>
            </w:r>
          </w:p>
        </w:tc>
      </w:tr>
      <w:tr>
        <w:tc>
          <w:tcPr>
            <w:tcW w:type="dxa" w:w="3312"/>
          </w:tcPr>
          <w:p>
            <w:r/>
            <w:r>
              <w:rPr>
                <w:sz w:val="20"/>
              </w:rPr>
              <w:t>5-year cumulative TCO</w:t>
            </w:r>
          </w:p>
        </w:tc>
        <w:tc>
          <w:tcPr>
            <w:tcW w:type="dxa" w:w="2376"/>
          </w:tcPr>
          <w:p>
            <w:r/>
            <w:r>
              <w:rPr>
                <w:sz w:val="20"/>
              </w:rPr>
              <w:t>$217 M</w:t>
            </w:r>
          </w:p>
        </w:tc>
        <w:tc>
          <w:tcPr>
            <w:tcW w:type="dxa" w:w="2376"/>
          </w:tcPr>
          <w:p>
            <w:r/>
            <w:r>
              <w:rPr>
                <w:sz w:val="20"/>
              </w:rPr>
              <w:t>$260 M</w:t>
            </w:r>
          </w:p>
        </w:tc>
        <w:tc>
          <w:tcPr>
            <w:tcW w:type="dxa" w:w="1872"/>
          </w:tcPr>
          <w:p>
            <w:r/>
            <w:r>
              <w:rPr>
                <w:sz w:val="20"/>
              </w:rPr>
              <w:t>−$43 M (on-prem wins)</w:t>
            </w:r>
          </w:p>
        </w:tc>
      </w:tr>
      <w:tr>
        <w:tc>
          <w:tcPr>
            <w:tcW w:type="dxa" w:w="3312"/>
            <w:shd w:fill="F2F2F2"/>
          </w:tcPr>
          <w:p>
            <w:r/>
            <w:r>
              <w:rPr>
                <w:sz w:val="20"/>
              </w:rPr>
              <w:t>In-house FTE required</w:t>
            </w:r>
          </w:p>
        </w:tc>
        <w:tc>
          <w:tcPr>
            <w:tcW w:type="dxa" w:w="2376"/>
            <w:shd w:fill="F2F2F2"/>
          </w:tcPr>
          <w:p>
            <w:r/>
            <w:r>
              <w:rPr>
                <w:sz w:val="20"/>
              </w:rPr>
              <w:t>39</w:t>
            </w:r>
          </w:p>
        </w:tc>
        <w:tc>
          <w:tcPr>
            <w:tcW w:type="dxa" w:w="2376"/>
            <w:shd w:fill="F2F2F2"/>
          </w:tcPr>
          <w:p>
            <w:r/>
            <w:r>
              <w:rPr>
                <w:sz w:val="20"/>
              </w:rPr>
              <w:t>23</w:t>
            </w:r>
          </w:p>
        </w:tc>
        <w:tc>
          <w:tcPr>
            <w:tcW w:type="dxa" w:w="1872"/>
            <w:shd w:fill="F2F2F2"/>
          </w:tcPr>
          <w:p>
            <w:r/>
            <w:r>
              <w:rPr>
                <w:sz w:val="20"/>
              </w:rPr>
              <w:t>+16 FTE</w:t>
            </w:r>
          </w:p>
        </w:tc>
      </w:tr>
      <w:tr>
        <w:tc>
          <w:tcPr>
            <w:tcW w:type="dxa" w:w="3312"/>
          </w:tcPr>
          <w:p>
            <w:r/>
            <w:r>
              <w:rPr>
                <w:sz w:val="20"/>
              </w:rPr>
              <w:t>Capacity-add lead time</w:t>
            </w:r>
          </w:p>
        </w:tc>
        <w:tc>
          <w:tcPr>
            <w:tcW w:type="dxa" w:w="2376"/>
          </w:tcPr>
          <w:p>
            <w:r/>
            <w:r>
              <w:rPr>
                <w:sz w:val="20"/>
              </w:rPr>
              <w:t>12–16 weeks</w:t>
            </w:r>
          </w:p>
        </w:tc>
        <w:tc>
          <w:tcPr>
            <w:tcW w:type="dxa" w:w="2376"/>
          </w:tcPr>
          <w:p>
            <w:r/>
            <w:r>
              <w:rPr>
                <w:sz w:val="20"/>
              </w:rPr>
              <w:t>minutes–hours</w:t>
            </w:r>
          </w:p>
        </w:tc>
        <w:tc>
          <w:tcPr>
            <w:tcW w:type="dxa" w:w="1872"/>
          </w:tcPr>
          <w:p>
            <w:r/>
            <w:r>
              <w:rPr>
                <w:sz w:val="20"/>
              </w:rPr>
              <w:t>Major constraint</w:t>
            </w:r>
          </w:p>
        </w:tc>
      </w:tr>
      <w:tr>
        <w:tc>
          <w:tcPr>
            <w:tcW w:type="dxa" w:w="3312"/>
            <w:shd w:fill="F2F2F2"/>
          </w:tcPr>
          <w:p>
            <w:r/>
            <w:r>
              <w:rPr>
                <w:sz w:val="20"/>
              </w:rPr>
              <w:t>Data leaving sovereign boundary</w:t>
            </w:r>
          </w:p>
        </w:tc>
        <w:tc>
          <w:tcPr>
            <w:tcW w:type="dxa" w:w="2376"/>
            <w:shd w:fill="F2F2F2"/>
          </w:tcPr>
          <w:p>
            <w:r/>
            <w:r>
              <w:rPr>
                <w:sz w:val="20"/>
              </w:rPr>
              <w:t>Encoded video only</w:t>
            </w:r>
          </w:p>
        </w:tc>
        <w:tc>
          <w:tcPr>
            <w:tcW w:type="dxa" w:w="2376"/>
            <w:shd w:fill="F2F2F2"/>
          </w:tcPr>
          <w:p>
            <w:r/>
            <w:r>
              <w:rPr>
                <w:sz w:val="20"/>
              </w:rPr>
              <w:t>PII + AI + telemetry</w:t>
            </w:r>
          </w:p>
        </w:tc>
        <w:tc>
          <w:tcPr>
            <w:tcW w:type="dxa" w:w="1872"/>
            <w:shd w:fill="F2F2F2"/>
          </w:tcPr>
          <w:p>
            <w:r/>
            <w:r>
              <w:rPr>
                <w:sz w:val="20"/>
              </w:rPr>
              <w:t>Sovereignty win</w:t>
            </w:r>
          </w:p>
        </w:tc>
      </w:tr>
      <w:tr>
        <w:tc>
          <w:tcPr>
            <w:tcW w:type="dxa" w:w="3312"/>
            <w:shd w:fill="C6EFCE"/>
          </w:tcPr>
          <w:p>
            <w:r/>
            <w:r>
              <w:rPr>
                <w:b/>
                <w:sz w:val="20"/>
              </w:rPr>
              <w:t>Break-even vs multi-cloud</w:t>
            </w:r>
          </w:p>
        </w:tc>
        <w:tc>
          <w:tcPr>
            <w:tcW w:type="dxa" w:w="2376"/>
            <w:shd w:fill="C6EFCE"/>
          </w:tcPr>
          <w:p>
            <w:r/>
            <w:r>
              <w:rPr>
                <w:b/>
                <w:sz w:val="20"/>
              </w:rPr>
              <w:t>~2.4 years</w:t>
            </w:r>
          </w:p>
        </w:tc>
        <w:tc>
          <w:tcPr>
            <w:tcW w:type="dxa" w:w="2376"/>
            <w:shd w:fill="C6EFCE"/>
          </w:tcPr>
          <w:p>
            <w:r/>
            <w:r>
              <w:rPr>
                <w:b/>
                <w:sz w:val="20"/>
              </w:rPr>
              <w:t>—</w:t>
            </w:r>
          </w:p>
        </w:tc>
        <w:tc>
          <w:tcPr>
            <w:tcW w:type="dxa" w:w="1872"/>
            <w:shd w:fill="C6EFCE"/>
          </w:tcPr>
          <w:p>
            <w:r/>
            <w:r>
              <w:rPr>
                <w:b/>
                <w:sz w:val="20"/>
              </w:rPr>
              <w:t>CapEx recovered Y3</w:t>
            </w:r>
          </w:p>
        </w:tc>
      </w:tr>
    </w:tbl>
    <w:p>
      <w:pPr>
        <w:pStyle w:val="Heading3"/>
        <w:spacing w:before="200" w:after="40"/>
      </w:pPr>
      <w:r>
        <w:rPr>
          <w:b/>
          <w:color w:val="2E75B6"/>
          <w:sz w:val="24"/>
        </w:rPr>
        <w:t>Bottom line</w:t>
      </w:r>
    </w:p>
    <w:p>
      <w:pPr>
        <w:pStyle w:val="ListBullet"/>
        <w:spacing w:after="40"/>
      </w:pPr>
      <w:r>
        <w:rPr>
          <w:sz w:val="22"/>
        </w:rPr>
        <w:t>At 1M subscribers, sovereign on-prem is ~18% cheaper on run-rate than the multi-cloud reference, and ~$43M cheaper over 5 years — BUT it requires $40M of CapEx before you can sell a single subscription and 16 more FTEs to operate.</w:t>
      </w:r>
    </w:p>
    <w:p>
      <w:pPr>
        <w:pStyle w:val="ListBullet"/>
        <w:spacing w:after="40"/>
      </w:pPr>
      <w:r>
        <w:rPr>
          <w:sz w:val="22"/>
        </w:rPr>
        <w:t>Break-even vs multi-cloud arrives at 2.4 years. Any shorter horizon (pilots, accelerators) is more economical on cloud; any longer horizon with a stable subscriber base favors the sovereign build.</w:t>
      </w:r>
    </w:p>
    <w:p>
      <w:pPr>
        <w:pStyle w:val="ListBullet"/>
        <w:spacing w:after="40"/>
      </w:pPr>
      <w:r>
        <w:rPr>
          <w:sz w:val="22"/>
        </w:rPr>
        <w:t>The sovereignty benefit is largely qualitative: zero customer PII traverses a commercial cloud, all AI inference is domestic, and the Flight Recorder lives in WORM storage you physically control. This is a product story, not a cost story — and the model recommends pricing it as such with a Premium Plus tier at $27.99.</w:t>
      </w:r>
    </w:p>
    <w:p>
      <w:pPr>
        <w:pStyle w:val="ListBullet"/>
        <w:spacing w:after="40"/>
      </w:pPr>
      <w:r>
        <w:rPr>
          <w:sz w:val="22"/>
        </w:rPr>
        <w:t>CDN remains in commercial cloud (Akamai/Cloudflare + fallback). Subscriber egress at 78 PB/month is uneconomic to carry on-prem and produces no sovereignty benefit — encrypted video segments are already DRM-wrapped and carry no PII.</w:t>
      </w:r>
    </w:p>
    <w:p>
      <w:r>
        <w:br/>
      </w:r>
    </w:p>
    <w:p>
      <w:pPr>
        <w:pStyle w:val="Heading1"/>
        <w:spacing w:before="320" w:after="160"/>
      </w:pPr>
      <w:r>
        <w:rPr>
          <w:rFonts w:ascii="Calibri" w:hAnsi="Calibri"/>
          <w:b/>
          <w:color w:val="1F3864"/>
          <w:sz w:val="40"/>
        </w:rPr>
        <w:t>Architecture &amp; Sovereign Premise</w:t>
      </w:r>
    </w:p>
    <w:p>
      <w:pPr>
        <w:pStyle w:val="Heading2"/>
        <w:spacing w:before="280" w:after="80"/>
      </w:pPr>
      <w:r>
        <w:rPr>
          <w:b/>
          <w:color w:val="1F3864"/>
          <w:sz w:val="28"/>
        </w:rPr>
        <w:t>What runs inside the sovereign perimeter</w:t>
      </w:r>
    </w:p>
    <w:p>
      <w:pPr>
        <w:spacing w:after="120"/>
      </w:pPr>
      <w:r>
        <w:rPr>
          <w:b w:val="0"/>
          <w:i w:val="0"/>
          <w:sz w:val="22"/>
        </w:rPr>
        <w:t>The Year-0 build delivers two geographically separated datacenters (metro DR pair, dark fiber) running active/active. Every persistent state plane, every AI inference call, and the full ADAM governance mesh (all 81 agents, 5-Director Constitution, CORE Engine, Flight Recorder) executes inside this boundary. From the ADAM Reference Architecture and DNA Deployment Spec, this is the minimum viable sovereign posture.</w:t>
      </w:r>
    </w:p>
    <w:p>
      <w:pPr>
        <w:pStyle w:val="ListBullet"/>
        <w:spacing w:after="40"/>
      </w:pPr>
      <w:r>
        <w:rPr>
          <w:sz w:val="22"/>
        </w:rPr>
        <w:t>Compute fabric — 240 servers (2U dual-EPYC Genoa, 1.5 TB DDR5): streaming origin/edge, NetStreamX microservices, K8s control plane, ADAM governance, database tier, Kafka/Redpanda + NATS JetStream.</w:t>
      </w:r>
    </w:p>
    <w:p>
      <w:pPr>
        <w:pStyle w:val="ListBullet"/>
        <w:spacing w:after="40"/>
      </w:pPr>
      <w:r>
        <w:rPr>
          <w:sz w:val="22"/>
        </w:rPr>
        <w:t>GPU fabric — 16 HGX H100 servers (8× H100 80GB each): on-prem LLM inference replaces Azure OpenAI / AWS Bedrock, plus NVENC/AV1 transcoding and Digital-Twin compute.</w:t>
      </w:r>
    </w:p>
    <w:p>
      <w:pPr>
        <w:pStyle w:val="ListBullet"/>
        <w:spacing w:after="40"/>
      </w:pPr>
      <w:r>
        <w:rPr>
          <w:sz w:val="22"/>
        </w:rPr>
        <w:t>Storage — Ceph HDD object+block (~14 PB for content library), Ceph NVMe hot tier (~1.3 PB), MinIO WORM cluster (~84 PB for 7-year Flight Recorder retention).</w:t>
      </w:r>
    </w:p>
    <w:p>
      <w:pPr>
        <w:pStyle w:val="ListBullet"/>
        <w:spacing w:after="40"/>
      </w:pPr>
      <w:r>
        <w:rPr>
          <w:sz w:val="22"/>
        </w:rPr>
        <w:t>Network fabric — BGP + EVPN with 400G spine and 100G leaf; border routers multi-homed to Tier-1 transit; MACsec on fabric, IPsec across metro DR link; Anycast sovereign DNS.</w:t>
      </w:r>
    </w:p>
    <w:p>
      <w:pPr>
        <w:pStyle w:val="ListBullet"/>
        <w:spacing w:after="40"/>
      </w:pPr>
      <w:r>
        <w:rPr>
          <w:sz w:val="22"/>
        </w:rPr>
        <w:t>Security &amp; crypto — Thales Luna HSM (FIPS 140-2 L3) for customer-held keys; HashiCorp Vault Enterprise for secrets/PKI; Keycloak + AD for identity; SPIRE/SPIFFE for workload identity.</w:t>
      </w:r>
    </w:p>
    <w:p>
      <w:pPr>
        <w:pStyle w:val="ListBullet"/>
        <w:spacing w:after="40"/>
      </w:pPr>
      <w:r>
        <w:rPr>
          <w:sz w:val="22"/>
        </w:rPr>
        <w:t>AI stack — Llama 3 70B and Mistral Large served via Ray/Anyscale, with model governance (doctrine evolution, reward shaping, eval harness) operated by in-house ML team.</w:t>
      </w:r>
    </w:p>
    <w:p>
      <w:pPr>
        <w:pStyle w:val="ListBullet"/>
        <w:spacing w:after="40"/>
      </w:pPr>
      <w:r>
        <w:rPr>
          <w:sz w:val="22"/>
        </w:rPr>
        <w:t>ADAM governance mesh — 81 agents at 3,180 vCPU / 12,720 GB RAM / 42 GPU baseline (DNA Deployment Spec defaults): CORE Engine, BOSS scorers, Intent Graph, Flight Recorder, 5-Director escalation, Exception Economy.</w:t>
      </w:r>
    </w:p>
    <w:p>
      <w:pPr>
        <w:pStyle w:val="ListBullet"/>
        <w:spacing w:after="40"/>
      </w:pPr>
      <w:r>
        <w:rPr>
          <w:sz w:val="22"/>
        </w:rPr>
        <w:t>Observability — Grafana Enterprise + Loki + Mimir; Wazuh SIEM; ELK for search; Sysdig + Falco + Tetragon for runtime security. Zero observability data leaves the perimeter.</w:t>
      </w:r>
    </w:p>
    <w:p>
      <w:pPr>
        <w:pStyle w:val="Heading2"/>
        <w:spacing w:before="280" w:after="80"/>
      </w:pPr>
      <w:r>
        <w:rPr>
          <w:b/>
          <w:color w:val="1F3864"/>
          <w:sz w:val="28"/>
        </w:rPr>
        <w:t>What remains in public cloud (the 'sovereign-permitted remnant')</w:t>
      </w:r>
    </w:p>
    <w:p>
      <w:pPr>
        <w:spacing w:after="120"/>
      </w:pPr>
      <w:r>
        <w:rPr>
          <w:b w:val="0"/>
          <w:i w:val="0"/>
          <w:sz w:val="22"/>
        </w:rPr>
        <w:t>Three and only three workloads are retained in commercial cloud:</w:t>
      </w:r>
    </w:p>
    <w:p>
      <w:pPr>
        <w:pStyle w:val="ListNumber"/>
        <w:spacing w:after="40"/>
      </w:pPr>
      <w:r>
        <w:rPr>
          <w:sz w:val="22"/>
        </w:rPr>
        <w:t>External CDN for subscriber video egress (Akamai primary + Cloudflare secondary, multi-CDN orchestration). At 78 PB/month and $0.0085/GB (10PB+ commit), this is ~$8.5M/yr — uneconomic to replicate on-prem and carries no sovereignty risk because segments are DRM-wrapped.</w:t>
      </w:r>
    </w:p>
    <w:p>
      <w:pPr>
        <w:pStyle w:val="ListNumber"/>
        <w:spacing w:after="40"/>
      </w:pPr>
      <w:r>
        <w:rPr>
          <w:sz w:val="22"/>
        </w:rPr>
        <w:t>DDoS scrubbing service (Cloudflare Magic Transit / Akamai Prolexic) for L3/L4 absorption beyond on-prem appliance capacity, plus anycast DNS overflow.</w:t>
      </w:r>
    </w:p>
    <w:p>
      <w:pPr>
        <w:pStyle w:val="ListNumber"/>
        <w:spacing w:after="40"/>
      </w:pPr>
      <w:r>
        <w:rPr>
          <w:sz w:val="22"/>
        </w:rPr>
        <w:t>DRM license services (Widevine / PlayReady / FairPlay) — these are vendor-operated by design; on-prem replication is not a supported posture.</w:t>
      </w:r>
    </w:p>
    <w:p>
      <w:pPr>
        <w:spacing w:after="120"/>
      </w:pPr>
      <w:r>
        <w:rPr>
          <w:b w:val="0"/>
          <w:i/>
          <w:sz w:val="22"/>
        </w:rPr>
        <w:t>Everything else — identity, keys, AI, governance, telemetry, content master copies — is sovereign. The air-gapped boundary is the operating premise, and it is architecturally enforced, not contractually assumed.</w:t>
      </w:r>
    </w:p>
    <w:p>
      <w:r>
        <w:br/>
      </w:r>
    </w:p>
    <w:p>
      <w:pPr>
        <w:pStyle w:val="Heading1"/>
        <w:spacing w:before="320" w:after="160"/>
      </w:pPr>
      <w:r>
        <w:rPr>
          <w:rFonts w:ascii="Calibri" w:hAnsi="Calibri"/>
          <w:b/>
          <w:color w:val="1F3864"/>
          <w:sz w:val="40"/>
        </w:rPr>
        <w:t>Methodology &amp; Scope</w:t>
      </w:r>
    </w:p>
    <w:p>
      <w:pPr>
        <w:pStyle w:val="Heading2"/>
        <w:spacing w:before="280" w:after="80"/>
      </w:pPr>
      <w:r>
        <w:rPr>
          <w:b/>
          <w:color w:val="1F3864"/>
          <w:sz w:val="28"/>
        </w:rPr>
        <w:t>What the CapEx covers</w:t>
      </w:r>
    </w:p>
    <w:p>
      <w:pPr>
        <w:spacing w:after="120"/>
      </w:pPr>
      <w:r>
        <w:rPr>
          <w:b w:val="0"/>
          <w:i w:val="0"/>
          <w:sz w:val="22"/>
        </w:rPr>
        <w:t>The Year-0 build is a bottom-up hardware+software+services stack at post-channel-discount pricing (20% off list on hardware, blended enterprise terms on software):</w:t>
      </w:r>
    </w:p>
    <w:p>
      <w:pPr>
        <w:pStyle w:val="ListBullet"/>
        <w:spacing w:after="40"/>
      </w:pPr>
      <w:r>
        <w:rPr>
          <w:sz w:val="22"/>
        </w:rPr>
        <w:t>Hardware ($29.1M): 240 compute servers, 16 GPU servers, ~120 storage nodes (bulk Ceph + hot NVMe + WORM), spine/leaf/edge networking, DDoS appliances, Thales Luna HSM, DC fit-out for 30 racks per DC across two sites, UPS, cooling, physical-security upgrades.</w:t>
      </w:r>
    </w:p>
    <w:p>
      <w:pPr>
        <w:pStyle w:val="ListBullet"/>
        <w:spacing w:after="40"/>
      </w:pPr>
      <w:r>
        <w:rPr>
          <w:sz w:val="22"/>
        </w:rPr>
        <w:t>Software CapEx ($2.2M): perpetual components for VMware/Tanzu bridge licenses, F5 BIG-IP chassis, DRM SDK integrations, Splunk perpetual cores (legacy compliance).</w:t>
      </w:r>
    </w:p>
    <w:p>
      <w:pPr>
        <w:pStyle w:val="ListBullet"/>
        <w:spacing w:after="40"/>
      </w:pPr>
      <w:r>
        <w:rPr>
          <w:sz w:val="22"/>
        </w:rPr>
        <w:t>Professional services ($4.9M): DC commissioning, network buildout, ADAM platform customization, migration of apps/data/identity, initial cohort training and certifications.</w:t>
      </w:r>
    </w:p>
    <w:p>
      <w:pPr>
        <w:pStyle w:val="ListBullet"/>
        <w:spacing w:after="40"/>
      </w:pPr>
      <w:r>
        <w:rPr>
          <w:sz w:val="22"/>
        </w:rPr>
        <w:t>Contingency (12% on top): $4.3M.</w:t>
      </w:r>
    </w:p>
    <w:p>
      <w:pPr>
        <w:pStyle w:val="Heading2"/>
        <w:spacing w:before="280" w:after="80"/>
      </w:pPr>
      <w:r>
        <w:rPr>
          <w:b/>
          <w:color w:val="1F3864"/>
          <w:sz w:val="28"/>
        </w:rPr>
        <w:t>What the OpEx covers</w:t>
      </w:r>
    </w:p>
    <w:p>
      <w:pPr>
        <w:spacing w:after="120"/>
      </w:pPr>
      <w:r>
        <w:rPr>
          <w:b w:val="0"/>
          <w:i w:val="0"/>
          <w:sz w:val="22"/>
        </w:rPr>
        <w:t>On-prem OpEx is a disciplined floor. It does not move with traffic except at the step-function boundaries (add a rack, add an FTE, sign a new software enterprise agreement):</w:t>
      </w:r>
    </w:p>
    <w:p>
      <w:pPr>
        <w:pStyle w:val="ListBullet"/>
        <w:spacing w:after="40"/>
      </w:pPr>
      <w:r>
        <w:rPr>
          <w:sz w:val="22"/>
        </w:rPr>
        <w:t>Power and cooling: 442 kW IT load × 1.5 PUE × €0.12/kWh × 8,760 hrs = ~$697K/yr.</w:t>
      </w:r>
    </w:p>
    <w:p>
      <w:pPr>
        <w:pStyle w:val="ListBullet"/>
        <w:spacing w:after="40"/>
      </w:pPr>
      <w:r>
        <w:rPr>
          <w:sz w:val="22"/>
        </w:rPr>
        <w:t>Rack lease (2 DCs × 30 racks × $1,500/rack-mo): $1.08M/yr.</w:t>
      </w:r>
    </w:p>
    <w:p>
      <w:pPr>
        <w:pStyle w:val="ListBullet"/>
        <w:spacing w:after="40"/>
      </w:pPr>
      <w:r>
        <w:rPr>
          <w:sz w:val="22"/>
        </w:rPr>
        <w:t>Dark fiber metro DR pair: $600K/yr.</w:t>
      </w:r>
    </w:p>
    <w:p>
      <w:pPr>
        <w:pStyle w:val="ListBullet"/>
        <w:spacing w:after="40"/>
      </w:pPr>
      <w:r>
        <w:rPr>
          <w:sz w:val="22"/>
        </w:rPr>
        <w:t>Hardware maintenance (7% of IT CapEx blended across years 1-5): $2.03M/yr average.</w:t>
      </w:r>
    </w:p>
    <w:p>
      <w:pPr>
        <w:pStyle w:val="ListBullet"/>
        <w:spacing w:after="40"/>
      </w:pPr>
      <w:r>
        <w:rPr>
          <w:sz w:val="22"/>
        </w:rPr>
        <w:t>Software enterprise subscriptions: ~$2.05M/yr for Rancher Prime, Vault, Thales DPoD, Elastic, Grafana, F5, Sysdig, Wazuh, Temporal, Ray, AV1/HEVC codec pool, DBA tooling.</w:t>
      </w:r>
    </w:p>
    <w:p>
      <w:pPr>
        <w:pStyle w:val="ListBullet"/>
        <w:spacing w:after="40"/>
      </w:pPr>
      <w:r>
        <w:rPr>
          <w:sz w:val="22"/>
        </w:rPr>
        <w:t>Staff (in-house, sovereign-mode): 33 platform/streaming engineering FTE, 4 engineering management, 2 in-house compliance — 39 FTE total at $240K fully-loaded EU senior engineering cost. Loaded with +15% management premium. Total: $9.5M/yr.</w:t>
      </w:r>
    </w:p>
    <w:p>
      <w:pPr>
        <w:pStyle w:val="ListBullet"/>
        <w:spacing w:after="40"/>
      </w:pPr>
      <w:r>
        <w:rPr>
          <w:sz w:val="22"/>
        </w:rPr>
        <w:t>Transit (peak commit 200 Gbps at $0.40/Mbps 95th): ~$960K/yr.</w:t>
      </w:r>
    </w:p>
    <w:p>
      <w:pPr>
        <w:pStyle w:val="Heading2"/>
        <w:spacing w:before="280" w:after="80"/>
      </w:pPr>
      <w:r>
        <w:rPr>
          <w:b/>
          <w:color w:val="1F3864"/>
          <w:sz w:val="28"/>
        </w:rPr>
        <w:t>Pricing basis</w:t>
      </w:r>
    </w:p>
    <w:p>
      <w:pPr>
        <w:spacing w:after="120"/>
      </w:pPr>
      <w:r>
        <w:rPr>
          <w:b w:val="0"/>
          <w:i w:val="0"/>
          <w:sz w:val="22"/>
        </w:rPr>
        <w:t>All figures are in USD. Hardware prices reflect current-generation channel pricing (Q1 2026) for EPYC Genoa, H100 HGX 80GB, 22TB HDD, and 30TB NVMe. Software subscription prices reflect blended EU enterprise terms. No speculative pricing (pre-order H200, Blackwell, etc.) is used anywhere in the model.</w:t>
      </w:r>
    </w:p>
    <w:p>
      <w:pPr>
        <w:pStyle w:val="Heading2"/>
        <w:spacing w:before="280" w:after="80"/>
      </w:pPr>
      <w:r>
        <w:rPr>
          <w:b/>
          <w:color w:val="1F3864"/>
          <w:sz w:val="28"/>
        </w:rPr>
        <w:t>What is explicitly excluded (and where it lives)</w:t>
      </w:r>
    </w:p>
    <w:p>
      <w:pPr>
        <w:pStyle w:val="ListBullet"/>
        <w:spacing w:after="40"/>
      </w:pPr>
      <w:r>
        <w:rPr>
          <w:sz w:val="22"/>
        </w:rPr>
        <w:t>Content licensing and original production — tracked as 42% of revenue (industry midpoint) and amortized straight-line over 4 years. This is strategy-driven, not infrastructure-driven, and the same cost applies to the multi-cloud reference.</w:t>
      </w:r>
    </w:p>
    <w:p>
      <w:pPr>
        <w:pStyle w:val="ListBullet"/>
        <w:spacing w:after="40"/>
      </w:pPr>
      <w:r>
        <w:rPr>
          <w:sz w:val="22"/>
        </w:rPr>
        <w:t>Marketing, subscriber acquisition cost, customer service labour, finance, legal (non-ADAM) — these are G&amp;A/opex lines in the P&amp;L, not cloud/on-prem OpEx.</w:t>
      </w:r>
    </w:p>
    <w:p>
      <w:pPr>
        <w:pStyle w:val="ListBullet"/>
        <w:spacing w:after="40"/>
      </w:pPr>
      <w:r>
        <w:rPr>
          <w:sz w:val="22"/>
        </w:rPr>
        <w:t>Azure AI inference, Azure OpenAI tokens, AWS Bedrock tokens, Azure Blob WORM — ZERO spend on these lines because they are replaced by the on-prem LLM, Ceph, and MinIO WORM clusters. This is the core economic bet.</w:t>
      </w:r>
    </w:p>
    <w:p>
      <w:pPr>
        <w:pStyle w:val="ListBullet"/>
        <w:spacing w:after="40"/>
      </w:pPr>
      <w:r>
        <w:rPr>
          <w:sz w:val="22"/>
        </w:rPr>
        <w:t>Cross-border data-residency attestations — sovereign posture makes these structurally unnecessary. An estimated 20% reduction in cyber + D&amp;O insurance premium is credited to the model.</w:t>
      </w:r>
    </w:p>
    <w:p>
      <w:pPr>
        <w:pStyle w:val="Heading2"/>
        <w:spacing w:before="280" w:after="80"/>
      </w:pPr>
      <w:r>
        <w:rPr>
          <w:b/>
          <w:color w:val="1F3864"/>
          <w:sz w:val="28"/>
        </w:rPr>
        <w:t>Non-obvious assumptions worth your review</w:t>
      </w:r>
    </w:p>
    <w:p>
      <w:pPr>
        <w:pStyle w:val="ListBullet"/>
        <w:spacing w:after="40"/>
      </w:pPr>
      <w:r>
        <w:rPr>
          <w:sz w:val="22"/>
        </w:rPr>
        <w:t>Content library raw size = 13.1 PB (100K titles × 22 GB per UHD mezzanine × 2.5x ABR ladder × 2.5x replication / 1024²). This is the inventory sized for dual-DC active/active — real caches at the CDN tier dominate hot content delivery and need not be mirrored on-prem.</w:t>
      </w:r>
    </w:p>
    <w:p>
      <w:pPr>
        <w:pStyle w:val="ListBullet"/>
        <w:spacing w:after="40"/>
      </w:pPr>
      <w:r>
        <w:rPr>
          <w:sz w:val="22"/>
        </w:rPr>
        <w:t>Flight Recorder cumulative = 84 PB over 7 years (12 PB/yr from the DNA Spec). This is the single largest storage footprint in the model. If your regulator accepts hash-chain summaries with content-addressable pointers (and not full-fidelity traces), this line could drop 60%+.</w:t>
      </w:r>
    </w:p>
    <w:p>
      <w:pPr>
        <w:pStyle w:val="ListBullet"/>
        <w:spacing w:after="40"/>
      </w:pPr>
      <w:r>
        <w:rPr>
          <w:sz w:val="22"/>
        </w:rPr>
        <w:t>The on-prem LLM is sized for 42 GPU agents and a steady-state inference load that replaces Azure OpenAI routing at ADAM-governance scale (~20M decisions/day across 81 agents). The HGX H100 cluster has substantial headroom for bursts.</w:t>
      </w:r>
    </w:p>
    <w:p>
      <w:pPr>
        <w:pStyle w:val="ListBullet"/>
        <w:spacing w:after="40"/>
      </w:pPr>
      <w:r>
        <w:rPr>
          <w:sz w:val="22"/>
        </w:rPr>
        <w:t>CDN is priced at $0.0085/GB — a realistic 10PB+ committed-spend blended rate for a dual-CDN (Akamai + Cloudflare) contract in 2026. CloudFront list at $0.085/GB at this volume would quadruple the CDN bill.</w:t>
      </w:r>
    </w:p>
    <w:p>
      <w:pPr>
        <w:pStyle w:val="ListBullet"/>
        <w:spacing w:after="40"/>
      </w:pPr>
      <w:r>
        <w:rPr>
          <w:sz w:val="22"/>
        </w:rPr>
        <w:t>Capacity-add lead times: 12–16 weeks for storage chassis, 16–26 weeks for current-gen GPU. This is a structural constraint the model assumes, not solves. Live-event peak demand is covered via hybrid burst (see Recommendations).</w:t>
      </w:r>
    </w:p>
    <w:p>
      <w:pPr>
        <w:pStyle w:val="ListBullet"/>
        <w:spacing w:after="40"/>
      </w:pPr>
      <w:r>
        <w:rPr>
          <w:sz w:val="22"/>
        </w:rPr>
        <w:t>Sustaining CapEx is 15% of initial IT CapEx applied in Years 4 and 5 for hardware refresh and growth — not Years 2-3. This reflects the 5-year refresh cadence typical for well-run data-center estates.</w:t>
      </w:r>
    </w:p>
    <w:p>
      <w:r>
        <w:br/>
      </w:r>
    </w:p>
    <w:p>
      <w:pPr>
        <w:pStyle w:val="Heading1"/>
        <w:spacing w:before="320" w:after="160"/>
      </w:pPr>
      <w:r>
        <w:rPr>
          <w:rFonts w:ascii="Calibri" w:hAnsi="Calibri"/>
          <w:b/>
          <w:color w:val="1F3864"/>
          <w:sz w:val="40"/>
        </w:rPr>
        <w:t>Cost Breakdown — Year 0/1 Build and Year 1 Run</w:t>
      </w:r>
    </w:p>
    <w:p>
      <w:pPr>
        <w:pStyle w:val="Heading2"/>
        <w:spacing w:before="280" w:after="80"/>
      </w:pPr>
      <w:r>
        <w:rPr>
          <w:b/>
          <w:color w:val="1F3864"/>
          <w:sz w:val="28"/>
        </w:rPr>
        <w:t>Year 0/1 CapEx — where the $40.5M goes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3600"/>
            <w:shd w:fill="1F3864"/>
            <w:vAlign w:val="center"/>
          </w:tcPr>
          <w:p>
            <w:r/>
            <w:r>
              <w:rPr>
                <w:b/>
                <w:color w:val="FFFFFF"/>
                <w:sz w:val="21"/>
              </w:rPr>
              <w:t>Category</w:t>
            </w:r>
          </w:p>
        </w:tc>
        <w:tc>
          <w:tcPr>
            <w:tcW w:type="dxa" w:w="1008"/>
            <w:shd w:fill="1F3864"/>
            <w:vAlign w:val="center"/>
          </w:tcPr>
          <w:p>
            <w:r/>
            <w:r>
              <w:rPr>
                <w:b/>
                <w:color w:val="FFFFFF"/>
                <w:sz w:val="21"/>
              </w:rPr>
              <w:t>$M</w:t>
            </w:r>
          </w:p>
        </w:tc>
        <w:tc>
          <w:tcPr>
            <w:tcW w:type="dxa" w:w="1296"/>
            <w:shd w:fill="1F3864"/>
            <w:vAlign w:val="center"/>
          </w:tcPr>
          <w:p>
            <w:r/>
            <w:r>
              <w:rPr>
                <w:b/>
                <w:color w:val="FFFFFF"/>
                <w:sz w:val="21"/>
              </w:rPr>
              <w:t>% of total</w:t>
            </w:r>
          </w:p>
        </w:tc>
        <w:tc>
          <w:tcPr>
            <w:tcW w:type="dxa" w:w="3600"/>
            <w:shd w:fill="1F3864"/>
            <w:vAlign w:val="center"/>
          </w:tcPr>
          <w:p>
            <w:r/>
            <w:r>
              <w:rPr>
                <w:b/>
                <w:color w:val="FFFFFF"/>
                <w:sz w:val="21"/>
              </w:rPr>
              <w:t>Notes</w:t>
            </w:r>
          </w:p>
        </w:tc>
      </w:tr>
      <w:tr>
        <w:tc>
          <w:tcPr>
            <w:tcW w:type="dxa" w:w="3600"/>
          </w:tcPr>
          <w:p>
            <w:r/>
            <w:r>
              <w:rPr>
                <w:sz w:val="20"/>
              </w:rPr>
              <w:t>Compute servers (240 total)</w:t>
            </w:r>
          </w:p>
        </w:tc>
        <w:tc>
          <w:tcPr>
            <w:tcW w:type="dxa" w:w="1008"/>
          </w:tcPr>
          <w:p>
            <w:r/>
            <w:r>
              <w:rPr>
                <w:sz w:val="20"/>
              </w:rPr>
              <w:t>$9.2</w:t>
            </w:r>
          </w:p>
        </w:tc>
        <w:tc>
          <w:tcPr>
            <w:tcW w:type="dxa" w:w="1296"/>
          </w:tcPr>
          <w:p>
            <w:r/>
            <w:r>
              <w:rPr>
                <w:sz w:val="20"/>
              </w:rPr>
              <w:t>23%</w:t>
            </w:r>
          </w:p>
        </w:tc>
        <w:tc>
          <w:tcPr>
            <w:tcW w:type="dxa" w:w="3600"/>
          </w:tcPr>
          <w:p>
            <w:r/>
            <w:r>
              <w:rPr>
                <w:sz w:val="20"/>
              </w:rPr>
              <w:t>Dual EPYC Genoa, 1.5 TB DDR5</w:t>
            </w:r>
          </w:p>
        </w:tc>
      </w:tr>
      <w:tr>
        <w:tc>
          <w:tcPr>
            <w:tcW w:type="dxa" w:w="3600"/>
            <w:shd w:fill="F2F2F2"/>
          </w:tcPr>
          <w:p>
            <w:r/>
            <w:r>
              <w:rPr>
                <w:sz w:val="20"/>
              </w:rPr>
              <w:t>GPU servers (16 HGX H100)</w:t>
            </w:r>
          </w:p>
        </w:tc>
        <w:tc>
          <w:tcPr>
            <w:tcW w:type="dxa" w:w="1008"/>
            <w:shd w:fill="F2F2F2"/>
          </w:tcPr>
          <w:p>
            <w:r/>
            <w:r>
              <w:rPr>
                <w:sz w:val="20"/>
              </w:rPr>
              <w:t>$3.6</w:t>
            </w:r>
          </w:p>
        </w:tc>
        <w:tc>
          <w:tcPr>
            <w:tcW w:type="dxa" w:w="1296"/>
            <w:shd w:fill="F2F2F2"/>
          </w:tcPr>
          <w:p>
            <w:r/>
            <w:r>
              <w:rPr>
                <w:sz w:val="20"/>
              </w:rPr>
              <w:t>9%</w:t>
            </w:r>
          </w:p>
        </w:tc>
        <w:tc>
          <w:tcPr>
            <w:tcW w:type="dxa" w:w="3600"/>
            <w:shd w:fill="F2F2F2"/>
          </w:tcPr>
          <w:p>
            <w:r/>
            <w:r>
              <w:rPr>
                <w:sz w:val="20"/>
              </w:rPr>
              <w:t>On-prem LLM + transcode + ML</w:t>
            </w:r>
          </w:p>
        </w:tc>
      </w:tr>
      <w:tr>
        <w:tc>
          <w:tcPr>
            <w:tcW w:type="dxa" w:w="3600"/>
          </w:tcPr>
          <w:p>
            <w:r/>
            <w:r>
              <w:rPr>
                <w:sz w:val="20"/>
              </w:rPr>
              <w:t>Storage (bulk + NVMe + WORM)</w:t>
            </w:r>
          </w:p>
        </w:tc>
        <w:tc>
          <w:tcPr>
            <w:tcW w:type="dxa" w:w="1008"/>
          </w:tcPr>
          <w:p>
            <w:r/>
            <w:r>
              <w:rPr>
                <w:sz w:val="20"/>
              </w:rPr>
              <w:t>$11.0</w:t>
            </w:r>
          </w:p>
        </w:tc>
        <w:tc>
          <w:tcPr>
            <w:tcW w:type="dxa" w:w="1296"/>
          </w:tcPr>
          <w:p>
            <w:r/>
            <w:r>
              <w:rPr>
                <w:sz w:val="20"/>
              </w:rPr>
              <w:t>27%</w:t>
            </w:r>
          </w:p>
        </w:tc>
        <w:tc>
          <w:tcPr>
            <w:tcW w:type="dxa" w:w="3600"/>
          </w:tcPr>
          <w:p>
            <w:r/>
            <w:r>
              <w:rPr>
                <w:sz w:val="20"/>
              </w:rPr>
              <w:t>Ceph + MinIO dual-DC</w:t>
            </w:r>
          </w:p>
        </w:tc>
      </w:tr>
      <w:tr>
        <w:tc>
          <w:tcPr>
            <w:tcW w:type="dxa" w:w="3600"/>
            <w:shd w:fill="F2F2F2"/>
          </w:tcPr>
          <w:p>
            <w:r/>
            <w:r>
              <w:rPr>
                <w:sz w:val="20"/>
              </w:rPr>
              <w:t>Networking (spine/leaf/edge/DDoS)</w:t>
            </w:r>
          </w:p>
        </w:tc>
        <w:tc>
          <w:tcPr>
            <w:tcW w:type="dxa" w:w="1008"/>
            <w:shd w:fill="F2F2F2"/>
          </w:tcPr>
          <w:p>
            <w:r/>
            <w:r>
              <w:rPr>
                <w:sz w:val="20"/>
              </w:rPr>
              <w:t>$1.9</w:t>
            </w:r>
          </w:p>
        </w:tc>
        <w:tc>
          <w:tcPr>
            <w:tcW w:type="dxa" w:w="1296"/>
            <w:shd w:fill="F2F2F2"/>
          </w:tcPr>
          <w:p>
            <w:r/>
            <w:r>
              <w:rPr>
                <w:sz w:val="20"/>
              </w:rPr>
              <w:t>5%</w:t>
            </w:r>
          </w:p>
        </w:tc>
        <w:tc>
          <w:tcPr>
            <w:tcW w:type="dxa" w:w="3600"/>
            <w:shd w:fill="F2F2F2"/>
          </w:tcPr>
          <w:p>
            <w:r/>
            <w:r>
              <w:rPr>
                <w:sz w:val="20"/>
              </w:rPr>
              <w:t>BGP+EVPN 400G fabric</w:t>
            </w:r>
          </w:p>
        </w:tc>
      </w:tr>
      <w:tr>
        <w:tc>
          <w:tcPr>
            <w:tcW w:type="dxa" w:w="3600"/>
          </w:tcPr>
          <w:p>
            <w:r/>
            <w:r>
              <w:rPr>
                <w:sz w:val="20"/>
              </w:rPr>
              <w:t>Security &amp; crypto (HSM, ancillary)</w:t>
            </w:r>
          </w:p>
        </w:tc>
        <w:tc>
          <w:tcPr>
            <w:tcW w:type="dxa" w:w="1008"/>
          </w:tcPr>
          <w:p>
            <w:r/>
            <w:r>
              <w:rPr>
                <w:sz w:val="20"/>
              </w:rPr>
              <w:t>$0.3</w:t>
            </w:r>
          </w:p>
        </w:tc>
        <w:tc>
          <w:tcPr>
            <w:tcW w:type="dxa" w:w="1296"/>
          </w:tcPr>
          <w:p>
            <w:r/>
            <w:r>
              <w:rPr>
                <w:sz w:val="20"/>
              </w:rPr>
              <w:t>1%</w:t>
            </w:r>
          </w:p>
        </w:tc>
        <w:tc>
          <w:tcPr>
            <w:tcW w:type="dxa" w:w="3600"/>
          </w:tcPr>
          <w:p>
            <w:r/>
            <w:r>
              <w:rPr>
                <w:sz w:val="20"/>
              </w:rPr>
              <w:t>Thales Luna FIPS 140-2 L3</w:t>
            </w:r>
          </w:p>
        </w:tc>
      </w:tr>
      <w:tr>
        <w:tc>
          <w:tcPr>
            <w:tcW w:type="dxa" w:w="3600"/>
            <w:shd w:fill="F2F2F2"/>
          </w:tcPr>
          <w:p>
            <w:r/>
            <w:r>
              <w:rPr>
                <w:sz w:val="20"/>
              </w:rPr>
              <w:t>DC fit-out (racks, UPS, cooling, sec)</w:t>
            </w:r>
          </w:p>
        </w:tc>
        <w:tc>
          <w:tcPr>
            <w:tcW w:type="dxa" w:w="1008"/>
            <w:shd w:fill="F2F2F2"/>
          </w:tcPr>
          <w:p>
            <w:r/>
            <w:r>
              <w:rPr>
                <w:sz w:val="20"/>
              </w:rPr>
              <w:t>$3.2</w:t>
            </w:r>
          </w:p>
        </w:tc>
        <w:tc>
          <w:tcPr>
            <w:tcW w:type="dxa" w:w="1296"/>
            <w:shd w:fill="F2F2F2"/>
          </w:tcPr>
          <w:p>
            <w:r/>
            <w:r>
              <w:rPr>
                <w:sz w:val="20"/>
              </w:rPr>
              <w:t>8%</w:t>
            </w:r>
          </w:p>
        </w:tc>
        <w:tc>
          <w:tcPr>
            <w:tcW w:type="dxa" w:w="3600"/>
            <w:shd w:fill="F2F2F2"/>
          </w:tcPr>
          <w:p>
            <w:r/>
            <w:r>
              <w:rPr>
                <w:sz w:val="20"/>
              </w:rPr>
              <w:t>30 racks × 2 DCs</w:t>
            </w:r>
          </w:p>
        </w:tc>
      </w:tr>
      <w:tr>
        <w:tc>
          <w:tcPr>
            <w:tcW w:type="dxa" w:w="3600"/>
          </w:tcPr>
          <w:p>
            <w:r/>
            <w:r>
              <w:rPr>
                <w:sz w:val="20"/>
              </w:rPr>
              <w:t>Software CapEx</w:t>
            </w:r>
          </w:p>
        </w:tc>
        <w:tc>
          <w:tcPr>
            <w:tcW w:type="dxa" w:w="1008"/>
          </w:tcPr>
          <w:p>
            <w:r/>
            <w:r>
              <w:rPr>
                <w:sz w:val="20"/>
              </w:rPr>
              <w:t>$2.2</w:t>
            </w:r>
          </w:p>
        </w:tc>
        <w:tc>
          <w:tcPr>
            <w:tcW w:type="dxa" w:w="1296"/>
          </w:tcPr>
          <w:p>
            <w:r/>
            <w:r>
              <w:rPr>
                <w:sz w:val="20"/>
              </w:rPr>
              <w:t>5%</w:t>
            </w:r>
          </w:p>
        </w:tc>
        <w:tc>
          <w:tcPr>
            <w:tcW w:type="dxa" w:w="3600"/>
          </w:tcPr>
          <w:p>
            <w:r/>
            <w:r>
              <w:rPr>
                <w:sz w:val="20"/>
              </w:rPr>
              <w:t>VMware, F5, Splunk, DRM SDKs</w:t>
            </w:r>
          </w:p>
        </w:tc>
      </w:tr>
      <w:tr>
        <w:tc>
          <w:tcPr>
            <w:tcW w:type="dxa" w:w="3600"/>
            <w:shd w:fill="F2F2F2"/>
          </w:tcPr>
          <w:p>
            <w:r/>
            <w:r>
              <w:rPr>
                <w:sz w:val="20"/>
              </w:rPr>
              <w:t>Professional services</w:t>
            </w:r>
          </w:p>
        </w:tc>
        <w:tc>
          <w:tcPr>
            <w:tcW w:type="dxa" w:w="1008"/>
            <w:shd w:fill="F2F2F2"/>
          </w:tcPr>
          <w:p>
            <w:r/>
            <w:r>
              <w:rPr>
                <w:sz w:val="20"/>
              </w:rPr>
              <w:t>$4.9</w:t>
            </w:r>
          </w:p>
        </w:tc>
        <w:tc>
          <w:tcPr>
            <w:tcW w:type="dxa" w:w="1296"/>
            <w:shd w:fill="F2F2F2"/>
          </w:tcPr>
          <w:p>
            <w:r/>
            <w:r>
              <w:rPr>
                <w:sz w:val="20"/>
              </w:rPr>
              <w:t>12%</w:t>
            </w:r>
          </w:p>
        </w:tc>
        <w:tc>
          <w:tcPr>
            <w:tcW w:type="dxa" w:w="3600"/>
            <w:shd w:fill="F2F2F2"/>
          </w:tcPr>
          <w:p>
            <w:r/>
            <w:r>
              <w:rPr>
                <w:sz w:val="20"/>
              </w:rPr>
              <w:t>Commissioning, migration, training</w:t>
            </w:r>
          </w:p>
        </w:tc>
      </w:tr>
      <w:tr>
        <w:tc>
          <w:tcPr>
            <w:tcW w:type="dxa" w:w="3600"/>
          </w:tcPr>
          <w:p>
            <w:r/>
            <w:r>
              <w:rPr>
                <w:sz w:val="20"/>
              </w:rPr>
              <w:t>Contingency (12%)</w:t>
            </w:r>
          </w:p>
        </w:tc>
        <w:tc>
          <w:tcPr>
            <w:tcW w:type="dxa" w:w="1008"/>
          </w:tcPr>
          <w:p>
            <w:r/>
            <w:r>
              <w:rPr>
                <w:sz w:val="20"/>
              </w:rPr>
              <w:t>$4.3</w:t>
            </w:r>
          </w:p>
        </w:tc>
        <w:tc>
          <w:tcPr>
            <w:tcW w:type="dxa" w:w="1296"/>
          </w:tcPr>
          <w:p>
            <w:r/>
            <w:r>
              <w:rPr>
                <w:sz w:val="20"/>
              </w:rPr>
              <w:t>11%</w:t>
            </w:r>
          </w:p>
        </w:tc>
        <w:tc>
          <w:tcPr>
            <w:tcW w:type="dxa" w:w="3600"/>
          </w:tcPr>
          <w:p>
            <w:r/>
            <w:r>
              <w:rPr>
                <w:sz w:val="20"/>
              </w:rPr>
              <w:t>Blended across hardware + sw + PS</w:t>
            </w:r>
          </w:p>
        </w:tc>
      </w:tr>
      <w:tr>
        <w:tc>
          <w:tcPr>
            <w:tcW w:type="dxa" w:w="3600"/>
            <w:shd w:fill="C6EFCE"/>
          </w:tcPr>
          <w:p>
            <w:r/>
            <w:r>
              <w:rPr>
                <w:b/>
                <w:sz w:val="20"/>
              </w:rPr>
              <w:t>TOTAL YEAR-0 CAPEX</w:t>
            </w:r>
          </w:p>
        </w:tc>
        <w:tc>
          <w:tcPr>
            <w:tcW w:type="dxa" w:w="1008"/>
            <w:shd w:fill="C6EFCE"/>
          </w:tcPr>
          <w:p>
            <w:r/>
            <w:r>
              <w:rPr>
                <w:b/>
                <w:sz w:val="20"/>
              </w:rPr>
              <w:t>$40.5</w:t>
            </w:r>
          </w:p>
        </w:tc>
        <w:tc>
          <w:tcPr>
            <w:tcW w:type="dxa" w:w="1296"/>
            <w:shd w:fill="C6EFCE"/>
          </w:tcPr>
          <w:p>
            <w:r/>
            <w:r>
              <w:rPr>
                <w:b/>
                <w:sz w:val="20"/>
              </w:rPr>
              <w:t>100%</w:t>
            </w:r>
          </w:p>
        </w:tc>
        <w:tc>
          <w:tcPr>
            <w:tcW w:type="dxa" w:w="3600"/>
            <w:shd w:fill="C6EFCE"/>
          </w:tcPr>
          <w:p>
            <w:r/>
            <w:r>
              <w:rPr>
                <w:b/>
                <w:sz w:val="20"/>
              </w:rPr>
              <w:t>Amortized 5-yr = $8.1M/yr</w:t>
            </w:r>
          </w:p>
        </w:tc>
      </w:tr>
    </w:tbl>
    <w:p/>
    <w:p>
      <w:pPr>
        <w:pStyle w:val="Heading2"/>
        <w:spacing w:before="280" w:after="80"/>
      </w:pPr>
      <w:r>
        <w:rPr>
          <w:b/>
          <w:color w:val="1F3864"/>
          <w:sz w:val="28"/>
        </w:rPr>
        <w:t>Year 1 On-Prem OpEx — the floor cost</w:t>
      </w:r>
    </w:p>
    <w:tbl>
      <w:tblPr>
        <w:tblW w:type="auto" w:w="0"/>
        <w:jc w:val="center"/>
        <w:tblLayout w:type="fixed"/>
        <w:tblLook w:firstColumn="1" w:firstRow="1" w:lastColumn="0" w:lastRow="0" w:noHBand="0" w:noVBand="1" w:val="04A0"/>
      </w:tblPr>
      <w:tblGrid>
        <w:gridCol w:w="3120"/>
        <w:gridCol w:w="3120"/>
        <w:gridCol w:w="3120"/>
      </w:tblGrid>
      <w:tr>
        <w:tc>
          <w:tcPr>
            <w:tcW w:type="dxa" w:w="3600"/>
            <w:shd w:fill="1F3864"/>
            <w:vAlign w:val="center"/>
          </w:tcPr>
          <w:p>
            <w:r/>
            <w:r>
              <w:rPr>
                <w:b/>
                <w:color w:val="FFFFFF"/>
                <w:sz w:val="21"/>
              </w:rPr>
              <w:t>Category</w:t>
            </w:r>
          </w:p>
        </w:tc>
        <w:tc>
          <w:tcPr>
            <w:tcW w:type="dxa" w:w="1224"/>
            <w:shd w:fill="1F3864"/>
            <w:vAlign w:val="center"/>
          </w:tcPr>
          <w:p>
            <w:r/>
            <w:r>
              <w:rPr>
                <w:b/>
                <w:color w:val="FFFFFF"/>
                <w:sz w:val="21"/>
              </w:rPr>
              <w:t>$M/yr</w:t>
            </w:r>
          </w:p>
        </w:tc>
        <w:tc>
          <w:tcPr>
            <w:tcW w:type="dxa" w:w="4032"/>
            <w:shd w:fill="1F3864"/>
            <w:vAlign w:val="center"/>
          </w:tcPr>
          <w:p>
            <w:r/>
            <w:r>
              <w:rPr>
                <w:b/>
                <w:color w:val="FFFFFF"/>
                <w:sz w:val="21"/>
              </w:rPr>
              <w:t>Driver</w:t>
            </w:r>
          </w:p>
        </w:tc>
      </w:tr>
      <w:tr>
        <w:tc>
          <w:tcPr>
            <w:tcW w:type="dxa" w:w="3600"/>
          </w:tcPr>
          <w:p>
            <w:r/>
            <w:r>
              <w:rPr>
                <w:sz w:val="20"/>
              </w:rPr>
              <w:t>Power (442 kW × PUE 1.5 × 24×365)</w:t>
            </w:r>
          </w:p>
        </w:tc>
        <w:tc>
          <w:tcPr>
            <w:tcW w:type="dxa" w:w="1224"/>
          </w:tcPr>
          <w:p>
            <w:r/>
            <w:r>
              <w:rPr>
                <w:sz w:val="20"/>
              </w:rPr>
              <w:t>$0.7</w:t>
            </w:r>
          </w:p>
        </w:tc>
        <w:tc>
          <w:tcPr>
            <w:tcW w:type="dxa" w:w="4032"/>
          </w:tcPr>
          <w:p>
            <w:r/>
            <w:r>
              <w:rPr>
                <w:sz w:val="20"/>
              </w:rPr>
              <w:t>$0.12/kWh EU blended</w:t>
            </w:r>
          </w:p>
        </w:tc>
      </w:tr>
      <w:tr>
        <w:tc>
          <w:tcPr>
            <w:tcW w:type="dxa" w:w="3600"/>
            <w:shd w:fill="F2F2F2"/>
          </w:tcPr>
          <w:p>
            <w:r/>
            <w:r>
              <w:rPr>
                <w:sz w:val="20"/>
              </w:rPr>
              <w:t>Rack lease (60 racks × $1,500/mo)</w:t>
            </w:r>
          </w:p>
        </w:tc>
        <w:tc>
          <w:tcPr>
            <w:tcW w:type="dxa" w:w="1224"/>
            <w:shd w:fill="F2F2F2"/>
          </w:tcPr>
          <w:p>
            <w:r/>
            <w:r>
              <w:rPr>
                <w:sz w:val="20"/>
              </w:rPr>
              <w:t>$1.08</w:t>
            </w:r>
          </w:p>
        </w:tc>
        <w:tc>
          <w:tcPr>
            <w:tcW w:type="dxa" w:w="4032"/>
            <w:shd w:fill="F2F2F2"/>
          </w:tcPr>
          <w:p>
            <w:r/>
            <w:r>
              <w:rPr>
                <w:sz w:val="20"/>
              </w:rPr>
              <w:t>Tier-3 colo, full-power racks</w:t>
            </w:r>
          </w:p>
        </w:tc>
      </w:tr>
      <w:tr>
        <w:tc>
          <w:tcPr>
            <w:tcW w:type="dxa" w:w="3600"/>
          </w:tcPr>
          <w:p>
            <w:r/>
            <w:r>
              <w:rPr>
                <w:sz w:val="20"/>
              </w:rPr>
              <w:t>Dark fiber metro DR pair</w:t>
            </w:r>
          </w:p>
        </w:tc>
        <w:tc>
          <w:tcPr>
            <w:tcW w:type="dxa" w:w="1224"/>
          </w:tcPr>
          <w:p>
            <w:r/>
            <w:r>
              <w:rPr>
                <w:sz w:val="20"/>
              </w:rPr>
              <w:t>$0.6</w:t>
            </w:r>
          </w:p>
        </w:tc>
        <w:tc>
          <w:tcPr>
            <w:tcW w:type="dxa" w:w="4032"/>
          </w:tcPr>
          <w:p>
            <w:r/>
            <w:r>
              <w:rPr>
                <w:sz w:val="20"/>
              </w:rPr>
              <w:t>$50K/mo fixed</w:t>
            </w:r>
          </w:p>
        </w:tc>
      </w:tr>
      <w:tr>
        <w:tc>
          <w:tcPr>
            <w:tcW w:type="dxa" w:w="3600"/>
            <w:shd w:fill="F2F2F2"/>
          </w:tcPr>
          <w:p>
            <w:r/>
            <w:r>
              <w:rPr>
                <w:sz w:val="20"/>
              </w:rPr>
              <w:t>Hardware maintenance (7% of IT CapEx)</w:t>
            </w:r>
          </w:p>
        </w:tc>
        <w:tc>
          <w:tcPr>
            <w:tcW w:type="dxa" w:w="1224"/>
            <w:shd w:fill="F2F2F2"/>
          </w:tcPr>
          <w:p>
            <w:r/>
            <w:r>
              <w:rPr>
                <w:sz w:val="20"/>
              </w:rPr>
              <w:t>$2.0</w:t>
            </w:r>
          </w:p>
        </w:tc>
        <w:tc>
          <w:tcPr>
            <w:tcW w:type="dxa" w:w="4032"/>
            <w:shd w:fill="F2F2F2"/>
          </w:tcPr>
          <w:p>
            <w:r/>
            <w:r>
              <w:rPr>
                <w:sz w:val="20"/>
              </w:rPr>
              <w:t>Blended Y1-5, vendor support</w:t>
            </w:r>
          </w:p>
        </w:tc>
      </w:tr>
      <w:tr>
        <w:tc>
          <w:tcPr>
            <w:tcW w:type="dxa" w:w="3600"/>
          </w:tcPr>
          <w:p>
            <w:r/>
            <w:r>
              <w:rPr>
                <w:sz w:val="20"/>
              </w:rPr>
              <w:t>Internet transit (peak 200 Gbps 95th)</w:t>
            </w:r>
          </w:p>
        </w:tc>
        <w:tc>
          <w:tcPr>
            <w:tcW w:type="dxa" w:w="1224"/>
          </w:tcPr>
          <w:p>
            <w:r/>
            <w:r>
              <w:rPr>
                <w:sz w:val="20"/>
              </w:rPr>
              <w:t>$1.0</w:t>
            </w:r>
          </w:p>
        </w:tc>
        <w:tc>
          <w:tcPr>
            <w:tcW w:type="dxa" w:w="4032"/>
          </w:tcPr>
          <w:p>
            <w:r/>
            <w:r>
              <w:rPr>
                <w:sz w:val="20"/>
              </w:rPr>
              <w:t>$0.40/Mbps, Tier-1 commit</w:t>
            </w:r>
          </w:p>
        </w:tc>
      </w:tr>
      <w:tr>
        <w:tc>
          <w:tcPr>
            <w:tcW w:type="dxa" w:w="3600"/>
            <w:shd w:fill="F2F2F2"/>
          </w:tcPr>
          <w:p>
            <w:r/>
            <w:r>
              <w:rPr>
                <w:sz w:val="20"/>
              </w:rPr>
              <w:t>Software enterprise subscriptions</w:t>
            </w:r>
          </w:p>
        </w:tc>
        <w:tc>
          <w:tcPr>
            <w:tcW w:type="dxa" w:w="1224"/>
            <w:shd w:fill="F2F2F2"/>
          </w:tcPr>
          <w:p>
            <w:r/>
            <w:r>
              <w:rPr>
                <w:sz w:val="20"/>
              </w:rPr>
              <w:t>$2.05</w:t>
            </w:r>
          </w:p>
        </w:tc>
        <w:tc>
          <w:tcPr>
            <w:tcW w:type="dxa" w:w="4032"/>
            <w:shd w:fill="F2F2F2"/>
          </w:tcPr>
          <w:p>
            <w:r/>
            <w:r>
              <w:rPr>
                <w:sz w:val="20"/>
              </w:rPr>
              <w:t>Rancher, Vault, Elastic, Grafana, Sysdig, AV1, Ray, etc.</w:t>
            </w:r>
          </w:p>
        </w:tc>
      </w:tr>
      <w:tr>
        <w:tc>
          <w:tcPr>
            <w:tcW w:type="dxa" w:w="3600"/>
          </w:tcPr>
          <w:p>
            <w:r/>
            <w:r>
              <w:rPr>
                <w:sz w:val="20"/>
              </w:rPr>
              <w:t>Engineering staff (33 FTE @ $240K)</w:t>
            </w:r>
          </w:p>
        </w:tc>
        <w:tc>
          <w:tcPr>
            <w:tcW w:type="dxa" w:w="1224"/>
          </w:tcPr>
          <w:p>
            <w:r/>
            <w:r>
              <w:rPr>
                <w:sz w:val="20"/>
              </w:rPr>
              <w:t>$7.9</w:t>
            </w:r>
          </w:p>
        </w:tc>
        <w:tc>
          <w:tcPr>
            <w:tcW w:type="dxa" w:w="4032"/>
          </w:tcPr>
          <w:p>
            <w:r/>
            <w:r>
              <w:rPr>
                <w:sz w:val="20"/>
              </w:rPr>
              <w:t>Platform + SRE + DBA + ML + NetSec + DC + media</w:t>
            </w:r>
          </w:p>
        </w:tc>
      </w:tr>
      <w:tr>
        <w:tc>
          <w:tcPr>
            <w:tcW w:type="dxa" w:w="3600"/>
            <w:shd w:fill="F2F2F2"/>
          </w:tcPr>
          <w:p>
            <w:r/>
            <w:r>
              <w:rPr>
                <w:sz w:val="20"/>
              </w:rPr>
              <w:t>Engineering management (4 FTE +15%)</w:t>
            </w:r>
          </w:p>
        </w:tc>
        <w:tc>
          <w:tcPr>
            <w:tcW w:type="dxa" w:w="1224"/>
            <w:shd w:fill="F2F2F2"/>
          </w:tcPr>
          <w:p>
            <w:r/>
            <w:r>
              <w:rPr>
                <w:sz w:val="20"/>
              </w:rPr>
              <w:t>$1.1</w:t>
            </w:r>
          </w:p>
        </w:tc>
        <w:tc>
          <w:tcPr>
            <w:tcW w:type="dxa" w:w="4032"/>
            <w:shd w:fill="F2F2F2"/>
          </w:tcPr>
          <w:p>
            <w:r/>
            <w:r>
              <w:rPr>
                <w:sz w:val="20"/>
              </w:rPr>
              <w:t>Director + 3 EMs</w:t>
            </w:r>
          </w:p>
        </w:tc>
      </w:tr>
      <w:tr>
        <w:tc>
          <w:tcPr>
            <w:tcW w:type="dxa" w:w="3600"/>
          </w:tcPr>
          <w:p>
            <w:r/>
            <w:r>
              <w:rPr>
                <w:sz w:val="20"/>
              </w:rPr>
              <w:t>Compliance &amp; audit (2 FTE)</w:t>
            </w:r>
          </w:p>
        </w:tc>
        <w:tc>
          <w:tcPr>
            <w:tcW w:type="dxa" w:w="1224"/>
          </w:tcPr>
          <w:p>
            <w:r/>
            <w:r>
              <w:rPr>
                <w:sz w:val="20"/>
              </w:rPr>
              <w:t>$0.48</w:t>
            </w:r>
          </w:p>
        </w:tc>
        <w:tc>
          <w:tcPr>
            <w:tcW w:type="dxa" w:w="4032"/>
          </w:tcPr>
          <w:p>
            <w:r/>
            <w:r>
              <w:rPr>
                <w:sz w:val="20"/>
              </w:rPr>
              <w:t>In-house EU AI Act + DORA + NIS2</w:t>
            </w:r>
          </w:p>
        </w:tc>
      </w:tr>
      <w:tr>
        <w:tc>
          <w:tcPr>
            <w:tcW w:type="dxa" w:w="3600"/>
            <w:shd w:fill="C6EFCE"/>
          </w:tcPr>
          <w:p>
            <w:r/>
            <w:r>
              <w:rPr>
                <w:b/>
                <w:sz w:val="20"/>
              </w:rPr>
              <w:t>TOTAL ON-PREM OPEX</w:t>
            </w:r>
          </w:p>
        </w:tc>
        <w:tc>
          <w:tcPr>
            <w:tcW w:type="dxa" w:w="1224"/>
            <w:shd w:fill="C6EFCE"/>
          </w:tcPr>
          <w:p>
            <w:r/>
            <w:r>
              <w:rPr>
                <w:b/>
                <w:sz w:val="20"/>
              </w:rPr>
              <w:t>$17.0</w:t>
            </w:r>
          </w:p>
        </w:tc>
        <w:tc>
          <w:tcPr>
            <w:tcW w:type="dxa" w:w="4032"/>
            <w:shd w:fill="C6EFCE"/>
          </w:tcPr>
          <w:p>
            <w:r/>
            <w:r>
              <w:rPr>
                <w:b/>
                <w:sz w:val="20"/>
              </w:rPr>
              <w:t>Flat year-on-year — does not scale with subs</w:t>
            </w:r>
          </w:p>
        </w:tc>
      </w:tr>
    </w:tbl>
    <w:p/>
    <w:p>
      <w:pPr>
        <w:pStyle w:val="Heading2"/>
        <w:spacing w:before="280" w:after="80"/>
      </w:pPr>
      <w:r>
        <w:rPr>
          <w:b/>
          <w:color w:val="1F3864"/>
          <w:sz w:val="28"/>
        </w:rPr>
        <w:t>Year 1 CDN + Network Services — the sovereign-permitted remnant</w:t>
      </w:r>
    </w:p>
    <w:tbl>
      <w:tblPr>
        <w:tblW w:type="auto" w:w="0"/>
        <w:jc w:val="center"/>
        <w:tblLayout w:type="fixed"/>
        <w:tblLook w:firstColumn="1" w:firstRow="1" w:lastColumn="0" w:lastRow="0" w:noHBand="0" w:noVBand="1" w:val="04A0"/>
      </w:tblPr>
      <w:tblGrid>
        <w:gridCol w:w="3120"/>
        <w:gridCol w:w="3120"/>
        <w:gridCol w:w="3120"/>
      </w:tblGrid>
      <w:tr>
        <w:tc>
          <w:tcPr>
            <w:tcW w:type="dxa" w:w="3744"/>
            <w:shd w:fill="1F3864"/>
            <w:vAlign w:val="center"/>
          </w:tcPr>
          <w:p>
            <w:r/>
            <w:r>
              <w:rPr>
                <w:b/>
                <w:color w:val="FFFFFF"/>
                <w:sz w:val="21"/>
              </w:rPr>
              <w:t>Category</w:t>
            </w:r>
          </w:p>
        </w:tc>
        <w:tc>
          <w:tcPr>
            <w:tcW w:type="dxa" w:w="1224"/>
            <w:shd w:fill="1F3864"/>
            <w:vAlign w:val="center"/>
          </w:tcPr>
          <w:p>
            <w:r/>
            <w:r>
              <w:rPr>
                <w:b/>
                <w:color w:val="FFFFFF"/>
                <w:sz w:val="21"/>
              </w:rPr>
              <w:t>$M/yr</w:t>
            </w:r>
          </w:p>
        </w:tc>
        <w:tc>
          <w:tcPr>
            <w:tcW w:type="dxa" w:w="3888"/>
            <w:shd w:fill="1F3864"/>
            <w:vAlign w:val="center"/>
          </w:tcPr>
          <w:p>
            <w:r/>
            <w:r>
              <w:rPr>
                <w:b/>
                <w:color w:val="FFFFFF"/>
                <w:sz w:val="21"/>
              </w:rPr>
              <w:t>Driver</w:t>
            </w:r>
          </w:p>
        </w:tc>
      </w:tr>
      <w:tr>
        <w:tc>
          <w:tcPr>
            <w:tcW w:type="dxa" w:w="3744"/>
          </w:tcPr>
          <w:p>
            <w:r/>
            <w:r>
              <w:rPr>
                <w:sz w:val="20"/>
              </w:rPr>
              <w:t>Subscriber egress via external CDN</w:t>
            </w:r>
          </w:p>
        </w:tc>
        <w:tc>
          <w:tcPr>
            <w:tcW w:type="dxa" w:w="1224"/>
          </w:tcPr>
          <w:p>
            <w:r/>
            <w:r>
              <w:rPr>
                <w:sz w:val="20"/>
              </w:rPr>
              <w:t>$8.5</w:t>
            </w:r>
          </w:p>
        </w:tc>
        <w:tc>
          <w:tcPr>
            <w:tcW w:type="dxa" w:w="3888"/>
          </w:tcPr>
          <w:p>
            <w:r/>
            <w:r>
              <w:rPr>
                <w:sz w:val="20"/>
              </w:rPr>
              <w:t>78 PB/mo × $0.0085/GB (10PB+ commit)</w:t>
            </w:r>
          </w:p>
        </w:tc>
      </w:tr>
      <w:tr>
        <w:tc>
          <w:tcPr>
            <w:tcW w:type="dxa" w:w="3744"/>
            <w:shd w:fill="F2F2F2"/>
          </w:tcPr>
          <w:p>
            <w:r/>
            <w:r>
              <w:rPr>
                <w:sz w:val="20"/>
              </w:rPr>
              <w:t>Multi-CDN orchestration overhead</w:t>
            </w:r>
          </w:p>
        </w:tc>
        <w:tc>
          <w:tcPr>
            <w:tcW w:type="dxa" w:w="1224"/>
            <w:shd w:fill="F2F2F2"/>
          </w:tcPr>
          <w:p>
            <w:r/>
            <w:r>
              <w:rPr>
                <w:sz w:val="20"/>
              </w:rPr>
              <w:t>$0.42</w:t>
            </w:r>
          </w:p>
        </w:tc>
        <w:tc>
          <w:tcPr>
            <w:tcW w:type="dxa" w:w="3888"/>
            <w:shd w:fill="F2F2F2"/>
          </w:tcPr>
          <w:p>
            <w:r/>
            <w:r>
              <w:rPr>
                <w:sz w:val="20"/>
              </w:rPr>
              <w:t>5% uplift for failover, probes, shaping</w:t>
            </w:r>
          </w:p>
        </w:tc>
      </w:tr>
      <w:tr>
        <w:tc>
          <w:tcPr>
            <w:tcW w:type="dxa" w:w="3744"/>
          </w:tcPr>
          <w:p>
            <w:r/>
            <w:r>
              <w:rPr>
                <w:sz w:val="20"/>
              </w:rPr>
              <w:t>Origin shield (CloudFront/Akamai)</w:t>
            </w:r>
          </w:p>
        </w:tc>
        <w:tc>
          <w:tcPr>
            <w:tcW w:type="dxa" w:w="1224"/>
          </w:tcPr>
          <w:p>
            <w:r/>
            <w:r>
              <w:rPr>
                <w:sz w:val="20"/>
              </w:rPr>
              <w:t>$0.24</w:t>
            </w:r>
          </w:p>
        </w:tc>
        <w:tc>
          <w:tcPr>
            <w:tcW w:type="dxa" w:w="3888"/>
          </w:tcPr>
          <w:p>
            <w:r/>
            <w:r>
              <w:rPr>
                <w:sz w:val="20"/>
              </w:rPr>
              <w:t>Mid-tier cache fronting on-prem origin</w:t>
            </w:r>
          </w:p>
        </w:tc>
      </w:tr>
      <w:tr>
        <w:tc>
          <w:tcPr>
            <w:tcW w:type="dxa" w:w="3744"/>
            <w:shd w:fill="F2F2F2"/>
          </w:tcPr>
          <w:p>
            <w:r/>
            <w:r>
              <w:rPr>
                <w:sz w:val="20"/>
              </w:rPr>
              <w:t>DDoS scrubbing (Cloudflare/Akamai)</w:t>
            </w:r>
          </w:p>
        </w:tc>
        <w:tc>
          <w:tcPr>
            <w:tcW w:type="dxa" w:w="1224"/>
            <w:shd w:fill="F2F2F2"/>
          </w:tcPr>
          <w:p>
            <w:r/>
            <w:r>
              <w:rPr>
                <w:sz w:val="20"/>
              </w:rPr>
              <w:t>$0.36</w:t>
            </w:r>
          </w:p>
        </w:tc>
        <w:tc>
          <w:tcPr>
            <w:tcW w:type="dxa" w:w="3888"/>
            <w:shd w:fill="F2F2F2"/>
          </w:tcPr>
          <w:p>
            <w:r/>
            <w:r>
              <w:rPr>
                <w:sz w:val="20"/>
              </w:rPr>
              <w:t>L3/L4 absorption beyond on-prem appliance</w:t>
            </w:r>
          </w:p>
        </w:tc>
      </w:tr>
      <w:tr>
        <w:tc>
          <w:tcPr>
            <w:tcW w:type="dxa" w:w="3744"/>
          </w:tcPr>
          <w:p>
            <w:r/>
            <w:r>
              <w:rPr>
                <w:sz w:val="20"/>
              </w:rPr>
              <w:t>DRM service (tri-wrap: WV+PR+FP)</w:t>
            </w:r>
          </w:p>
        </w:tc>
        <w:tc>
          <w:tcPr>
            <w:tcW w:type="dxa" w:w="1224"/>
          </w:tcPr>
          <w:p>
            <w:r/>
            <w:r>
              <w:rPr>
                <w:sz w:val="20"/>
              </w:rPr>
              <w:t>$0.20</w:t>
            </w:r>
          </w:p>
        </w:tc>
        <w:tc>
          <w:tcPr>
            <w:tcW w:type="dxa" w:w="3888"/>
          </w:tcPr>
          <w:p>
            <w:r/>
            <w:r>
              <w:rPr>
                <w:sz w:val="20"/>
              </w:rPr>
              <w:t>Vendor-operated by design</w:t>
            </w:r>
          </w:p>
        </w:tc>
      </w:tr>
      <w:tr>
        <w:tc>
          <w:tcPr>
            <w:tcW w:type="dxa" w:w="3744"/>
            <w:shd w:fill="F2F2F2"/>
          </w:tcPr>
          <w:p>
            <w:r/>
            <w:r>
              <w:rPr>
                <w:sz w:val="20"/>
              </w:rPr>
              <w:t>DRM transactions (license server bursts)</w:t>
            </w:r>
          </w:p>
        </w:tc>
        <w:tc>
          <w:tcPr>
            <w:tcW w:type="dxa" w:w="1224"/>
            <w:shd w:fill="F2F2F2"/>
          </w:tcPr>
          <w:p>
            <w:r/>
            <w:r>
              <w:rPr>
                <w:sz w:val="20"/>
              </w:rPr>
              <w:t>$0.18</w:t>
            </w:r>
          </w:p>
        </w:tc>
        <w:tc>
          <w:tcPr>
            <w:tcW w:type="dxa" w:w="3888"/>
            <w:shd w:fill="F2F2F2"/>
          </w:tcPr>
          <w:p>
            <w:r/>
            <w:r>
              <w:rPr>
                <w:sz w:val="20"/>
              </w:rPr>
              <w:t>Peak-event spikes</w:t>
            </w:r>
          </w:p>
        </w:tc>
      </w:tr>
      <w:tr>
        <w:tc>
          <w:tcPr>
            <w:tcW w:type="dxa" w:w="3744"/>
          </w:tcPr>
          <w:p>
            <w:r/>
            <w:r>
              <w:rPr>
                <w:sz w:val="20"/>
              </w:rPr>
              <w:t>Anycast DNS overflow</w:t>
            </w:r>
          </w:p>
        </w:tc>
        <w:tc>
          <w:tcPr>
            <w:tcW w:type="dxa" w:w="1224"/>
          </w:tcPr>
          <w:p>
            <w:r/>
            <w:r>
              <w:rPr>
                <w:sz w:val="20"/>
              </w:rPr>
              <w:t>$0.08</w:t>
            </w:r>
          </w:p>
        </w:tc>
        <w:tc>
          <w:tcPr>
            <w:tcW w:type="dxa" w:w="3888"/>
          </w:tcPr>
          <w:p>
            <w:r/>
            <w:r>
              <w:rPr>
                <w:sz w:val="20"/>
              </w:rPr>
              <w:t>Global resolver for rare cache misses</w:t>
            </w:r>
          </w:p>
        </w:tc>
      </w:tr>
      <w:tr>
        <w:tc>
          <w:tcPr>
            <w:tcW w:type="dxa" w:w="3744"/>
            <w:shd w:fill="F2F2F2"/>
          </w:tcPr>
          <w:p>
            <w:r/>
            <w:r>
              <w:rPr>
                <w:sz w:val="20"/>
              </w:rPr>
              <w:t>Threat intel feeds (commercial)</w:t>
            </w:r>
          </w:p>
        </w:tc>
        <w:tc>
          <w:tcPr>
            <w:tcW w:type="dxa" w:w="1224"/>
            <w:shd w:fill="F2F2F2"/>
          </w:tcPr>
          <w:p>
            <w:r/>
            <w:r>
              <w:rPr>
                <w:sz w:val="20"/>
              </w:rPr>
              <w:t>$0.24</w:t>
            </w:r>
          </w:p>
        </w:tc>
        <w:tc>
          <w:tcPr>
            <w:tcW w:type="dxa" w:w="3888"/>
            <w:shd w:fill="F2F2F2"/>
          </w:tcPr>
          <w:p>
            <w:r/>
            <w:r>
              <w:rPr>
                <w:sz w:val="20"/>
              </w:rPr>
              <w:t>SIEM enrichment</w:t>
            </w:r>
          </w:p>
        </w:tc>
      </w:tr>
      <w:tr>
        <w:tc>
          <w:tcPr>
            <w:tcW w:type="dxa" w:w="3744"/>
            <w:shd w:fill="C6EFCE"/>
          </w:tcPr>
          <w:p>
            <w:r/>
            <w:r>
              <w:rPr>
                <w:b/>
                <w:sz w:val="20"/>
              </w:rPr>
              <w:t>TOTAL CDN + NETWORK SERVICES</w:t>
            </w:r>
          </w:p>
        </w:tc>
        <w:tc>
          <w:tcPr>
            <w:tcW w:type="dxa" w:w="1224"/>
            <w:shd w:fill="C6EFCE"/>
          </w:tcPr>
          <w:p>
            <w:r/>
            <w:r>
              <w:rPr>
                <w:b/>
                <w:sz w:val="20"/>
              </w:rPr>
              <w:t>$10.2</w:t>
            </w:r>
          </w:p>
        </w:tc>
        <w:tc>
          <w:tcPr>
            <w:tcW w:type="dxa" w:w="3888"/>
            <w:shd w:fill="C6EFCE"/>
          </w:tcPr>
          <w:p>
            <w:r/>
            <w:r>
              <w:rPr>
                <w:b/>
                <w:sz w:val="20"/>
              </w:rPr>
              <w:t>Scales linearly with subscriber base</w:t>
            </w:r>
          </w:p>
        </w:tc>
      </w:tr>
    </w:tbl>
    <w:p/>
    <w:p>
      <w:pPr>
        <w:pStyle w:val="Heading2"/>
        <w:spacing w:before="280" w:after="80"/>
      </w:pPr>
      <w:r>
        <w:rPr>
          <w:b/>
          <w:color w:val="1F3864"/>
          <w:sz w:val="28"/>
        </w:rPr>
        <w:t>Year 1 ADAM Governance Overlay — the constitutional cost</w:t>
      </w:r>
    </w:p>
    <w:tbl>
      <w:tblPr>
        <w:tblW w:type="auto" w:w="0"/>
        <w:jc w:val="center"/>
        <w:tblLayout w:type="fixed"/>
        <w:tblLook w:firstColumn="1" w:firstRow="1" w:lastColumn="0" w:lastRow="0" w:noHBand="0" w:noVBand="1" w:val="04A0"/>
      </w:tblPr>
      <w:tblGrid>
        <w:gridCol w:w="3120"/>
        <w:gridCol w:w="3120"/>
        <w:gridCol w:w="3120"/>
      </w:tblGrid>
      <w:tr>
        <w:tc>
          <w:tcPr>
            <w:tcW w:type="dxa" w:w="3744"/>
            <w:shd w:fill="1F3864"/>
            <w:vAlign w:val="center"/>
          </w:tcPr>
          <w:p>
            <w:r/>
            <w:r>
              <w:rPr>
                <w:b/>
                <w:color w:val="FFFFFF"/>
                <w:sz w:val="21"/>
              </w:rPr>
              <w:t>Category</w:t>
            </w:r>
          </w:p>
        </w:tc>
        <w:tc>
          <w:tcPr>
            <w:tcW w:type="dxa" w:w="1224"/>
            <w:shd w:fill="1F3864"/>
            <w:vAlign w:val="center"/>
          </w:tcPr>
          <w:p>
            <w:r/>
            <w:r>
              <w:rPr>
                <w:b/>
                <w:color w:val="FFFFFF"/>
                <w:sz w:val="21"/>
              </w:rPr>
              <w:t>$M/yr</w:t>
            </w:r>
          </w:p>
        </w:tc>
        <w:tc>
          <w:tcPr>
            <w:tcW w:type="dxa" w:w="3888"/>
            <w:shd w:fill="1F3864"/>
            <w:vAlign w:val="center"/>
          </w:tcPr>
          <w:p>
            <w:r/>
            <w:r>
              <w:rPr>
                <w:b/>
                <w:color w:val="FFFFFF"/>
                <w:sz w:val="21"/>
              </w:rPr>
              <w:t>Driver</w:t>
            </w:r>
          </w:p>
        </w:tc>
      </w:tr>
      <w:tr>
        <w:tc>
          <w:tcPr>
            <w:tcW w:type="dxa" w:w="3744"/>
          </w:tcPr>
          <w:p>
            <w:r/>
            <w:r>
              <w:rPr>
                <w:sz w:val="20"/>
              </w:rPr>
              <w:t>Mandatory directors (5, allocated)</w:t>
            </w:r>
          </w:p>
        </w:tc>
        <w:tc>
          <w:tcPr>
            <w:tcW w:type="dxa" w:w="1224"/>
          </w:tcPr>
          <w:p>
            <w:r/>
            <w:r>
              <w:rPr>
                <w:sz w:val="20"/>
              </w:rPr>
              <w:t>$1.5</w:t>
            </w:r>
          </w:p>
        </w:tc>
        <w:tc>
          <w:tcPr>
            <w:tcW w:type="dxa" w:w="3888"/>
          </w:tcPr>
          <w:p>
            <w:r/>
            <w:r>
              <w:rPr>
                <w:sz w:val="20"/>
              </w:rPr>
              <w:t>CEO + CFO + Legal + Market + CISO × 20% allocation</w:t>
            </w:r>
          </w:p>
        </w:tc>
      </w:tr>
      <w:tr>
        <w:tc>
          <w:tcPr>
            <w:tcW w:type="dxa" w:w="3744"/>
            <w:shd w:fill="F2F2F2"/>
          </w:tcPr>
          <w:p>
            <w:r/>
            <w:r>
              <w:rPr>
                <w:sz w:val="20"/>
              </w:rPr>
              <w:t>External annual ADAM compliance audit</w:t>
            </w:r>
          </w:p>
        </w:tc>
        <w:tc>
          <w:tcPr>
            <w:tcW w:type="dxa" w:w="1224"/>
            <w:shd w:fill="F2F2F2"/>
          </w:tcPr>
          <w:p>
            <w:r/>
            <w:r>
              <w:rPr>
                <w:sz w:val="20"/>
              </w:rPr>
              <w:t>$0.40</w:t>
            </w:r>
          </w:p>
        </w:tc>
        <w:tc>
          <w:tcPr>
            <w:tcW w:type="dxa" w:w="3888"/>
            <w:shd w:fill="F2F2F2"/>
          </w:tcPr>
          <w:p>
            <w:r/>
            <w:r>
              <w:rPr>
                <w:sz w:val="20"/>
              </w:rPr>
              <w:t>Third-party attestation</w:t>
            </w:r>
          </w:p>
        </w:tc>
      </w:tr>
      <w:tr>
        <w:tc>
          <w:tcPr>
            <w:tcW w:type="dxa" w:w="3744"/>
          </w:tcPr>
          <w:p>
            <w:r/>
            <w:r>
              <w:rPr>
                <w:sz w:val="20"/>
              </w:rPr>
              <w:t>EU AI Act conformity (notified body)</w:t>
            </w:r>
          </w:p>
        </w:tc>
        <w:tc>
          <w:tcPr>
            <w:tcW w:type="dxa" w:w="1224"/>
          </w:tcPr>
          <w:p>
            <w:r/>
            <w:r>
              <w:rPr>
                <w:sz w:val="20"/>
              </w:rPr>
              <w:t>$0.20</w:t>
            </w:r>
          </w:p>
        </w:tc>
        <w:tc>
          <w:tcPr>
            <w:tcW w:type="dxa" w:w="3888"/>
          </w:tcPr>
          <w:p>
            <w:r/>
            <w:r>
              <w:rPr>
                <w:sz w:val="20"/>
              </w:rPr>
              <w:t>Art. 43 conformity assessment</w:t>
            </w:r>
          </w:p>
        </w:tc>
      </w:tr>
      <w:tr>
        <w:tc>
          <w:tcPr>
            <w:tcW w:type="dxa" w:w="3744"/>
            <w:shd w:fill="F2F2F2"/>
          </w:tcPr>
          <w:p>
            <w:r/>
            <w:r>
              <w:rPr>
                <w:sz w:val="20"/>
              </w:rPr>
              <w:t>DORA registry + NIS2 attestation</w:t>
            </w:r>
          </w:p>
        </w:tc>
        <w:tc>
          <w:tcPr>
            <w:tcW w:type="dxa" w:w="1224"/>
            <w:shd w:fill="F2F2F2"/>
          </w:tcPr>
          <w:p>
            <w:r/>
            <w:r>
              <w:rPr>
                <w:sz w:val="20"/>
              </w:rPr>
              <w:t>$0.12</w:t>
            </w:r>
          </w:p>
        </w:tc>
        <w:tc>
          <w:tcPr>
            <w:tcW w:type="dxa" w:w="3888"/>
            <w:shd w:fill="F2F2F2"/>
          </w:tcPr>
          <w:p>
            <w:r/>
            <w:r>
              <w:rPr>
                <w:sz w:val="20"/>
              </w:rPr>
              <w:t>EU financial-services regime</w:t>
            </w:r>
          </w:p>
        </w:tc>
      </w:tr>
      <w:tr>
        <w:tc>
          <w:tcPr>
            <w:tcW w:type="dxa" w:w="3744"/>
          </w:tcPr>
          <w:p>
            <w:r/>
            <w:r>
              <w:rPr>
                <w:sz w:val="20"/>
              </w:rPr>
              <w:t>Doctrine evolution + model governance</w:t>
            </w:r>
          </w:p>
        </w:tc>
        <w:tc>
          <w:tcPr>
            <w:tcW w:type="dxa" w:w="1224"/>
          </w:tcPr>
          <w:p>
            <w:r/>
            <w:r>
              <w:rPr>
                <w:sz w:val="20"/>
              </w:rPr>
              <w:t>$0.25</w:t>
            </w:r>
          </w:p>
        </w:tc>
        <w:tc>
          <w:tcPr>
            <w:tcW w:type="dxa" w:w="3888"/>
          </w:tcPr>
          <w:p>
            <w:r/>
            <w:r>
              <w:rPr>
                <w:sz w:val="20"/>
              </w:rPr>
              <w:t>Outside legal counsel for constitution changes</w:t>
            </w:r>
          </w:p>
        </w:tc>
      </w:tr>
      <w:tr>
        <w:tc>
          <w:tcPr>
            <w:tcW w:type="dxa" w:w="3744"/>
            <w:shd w:fill="F2F2F2"/>
          </w:tcPr>
          <w:p>
            <w:r/>
            <w:r>
              <w:rPr>
                <w:sz w:val="20"/>
              </w:rPr>
              <w:t>Continuous training &amp; certifications</w:t>
            </w:r>
          </w:p>
        </w:tc>
        <w:tc>
          <w:tcPr>
            <w:tcW w:type="dxa" w:w="1224"/>
            <w:shd w:fill="F2F2F2"/>
          </w:tcPr>
          <w:p>
            <w:r/>
            <w:r>
              <w:rPr>
                <w:sz w:val="20"/>
              </w:rPr>
              <w:t>$0.15</w:t>
            </w:r>
          </w:p>
        </w:tc>
        <w:tc>
          <w:tcPr>
            <w:tcW w:type="dxa" w:w="3888"/>
            <w:shd w:fill="F2F2F2"/>
          </w:tcPr>
          <w:p>
            <w:r/>
            <w:r>
              <w:rPr>
                <w:sz w:val="20"/>
              </w:rPr>
              <w:t>SRE, compliance, AI-ops</w:t>
            </w:r>
          </w:p>
        </w:tc>
      </w:tr>
      <w:tr>
        <w:tc>
          <w:tcPr>
            <w:tcW w:type="dxa" w:w="3744"/>
          </w:tcPr>
          <w:p>
            <w:r/>
            <w:r>
              <w:rPr>
                <w:sz w:val="20"/>
              </w:rPr>
              <w:t>Cyber + D&amp;O insurance (ADAM premium)</w:t>
            </w:r>
          </w:p>
        </w:tc>
        <w:tc>
          <w:tcPr>
            <w:tcW w:type="dxa" w:w="1224"/>
          </w:tcPr>
          <w:p>
            <w:r/>
            <w:r>
              <w:rPr>
                <w:sz w:val="20"/>
              </w:rPr>
              <w:t>$0.40</w:t>
            </w:r>
          </w:p>
        </w:tc>
        <w:tc>
          <w:tcPr>
            <w:tcW w:type="dxa" w:w="3888"/>
          </w:tcPr>
          <w:p>
            <w:r/>
            <w:r>
              <w:rPr>
                <w:sz w:val="20"/>
              </w:rPr>
              <w:t>ADAM-amplified premium, net of 20% sovereignty discount</w:t>
            </w:r>
          </w:p>
        </w:tc>
      </w:tr>
      <w:tr>
        <w:tc>
          <w:tcPr>
            <w:tcW w:type="dxa" w:w="3744"/>
            <w:shd w:fill="F2F2F2"/>
          </w:tcPr>
          <w:p>
            <w:r/>
            <w:r>
              <w:rPr>
                <w:sz w:val="20"/>
              </w:rPr>
              <w:t>Exception Economy operations</w:t>
            </w:r>
          </w:p>
        </w:tc>
        <w:tc>
          <w:tcPr>
            <w:tcW w:type="dxa" w:w="1224"/>
            <w:shd w:fill="F2F2F2"/>
          </w:tcPr>
          <w:p>
            <w:r/>
            <w:r>
              <w:rPr>
                <w:sz w:val="20"/>
              </w:rPr>
              <w:t>$0.60</w:t>
            </w:r>
          </w:p>
        </w:tc>
        <w:tc>
          <w:tcPr>
            <w:tcW w:type="dxa" w:w="3888"/>
            <w:shd w:fill="F2F2F2"/>
          </w:tcPr>
          <w:p>
            <w:r/>
            <w:r>
              <w:rPr>
                <w:sz w:val="20"/>
              </w:rPr>
              <w:t>BOSS scoring, escalation workflow, Director pods</w:t>
            </w:r>
          </w:p>
        </w:tc>
      </w:tr>
      <w:tr>
        <w:tc>
          <w:tcPr>
            <w:tcW w:type="dxa" w:w="3744"/>
          </w:tcPr>
          <w:p>
            <w:r/>
            <w:r>
              <w:rPr>
                <w:sz w:val="20"/>
              </w:rPr>
              <w:t>AI inference (replaced by on-prem LLM)</w:t>
            </w:r>
          </w:p>
        </w:tc>
        <w:tc>
          <w:tcPr>
            <w:tcW w:type="dxa" w:w="1224"/>
          </w:tcPr>
          <w:p>
            <w:r/>
            <w:r>
              <w:rPr>
                <w:sz w:val="20"/>
              </w:rPr>
              <w:t>$0.00</w:t>
            </w:r>
          </w:p>
        </w:tc>
        <w:tc>
          <w:tcPr>
            <w:tcW w:type="dxa" w:w="3888"/>
          </w:tcPr>
          <w:p>
            <w:r/>
            <w:r>
              <w:rPr>
                <w:sz w:val="20"/>
              </w:rPr>
              <w:t>Structural — the sovereign bet pays here</w:t>
            </w:r>
          </w:p>
        </w:tc>
      </w:tr>
      <w:tr>
        <w:tc>
          <w:tcPr>
            <w:tcW w:type="dxa" w:w="3744"/>
            <w:shd w:fill="F2F2F2"/>
          </w:tcPr>
          <w:p>
            <w:r/>
            <w:r>
              <w:rPr>
                <w:sz w:val="20"/>
              </w:rPr>
              <w:t>Flight Recorder ingest (on-prem WORM)</w:t>
            </w:r>
          </w:p>
        </w:tc>
        <w:tc>
          <w:tcPr>
            <w:tcW w:type="dxa" w:w="1224"/>
            <w:shd w:fill="F2F2F2"/>
          </w:tcPr>
          <w:p>
            <w:r/>
            <w:r>
              <w:rPr>
                <w:sz w:val="20"/>
              </w:rPr>
              <w:t>$0.00</w:t>
            </w:r>
          </w:p>
        </w:tc>
        <w:tc>
          <w:tcPr>
            <w:tcW w:type="dxa" w:w="3888"/>
            <w:shd w:fill="F2F2F2"/>
          </w:tcPr>
          <w:p>
            <w:r/>
            <w:r>
              <w:rPr>
                <w:sz w:val="20"/>
              </w:rPr>
              <w:t>Structural — MinIO WORM already in CapEx</w:t>
            </w:r>
          </w:p>
        </w:tc>
      </w:tr>
      <w:tr>
        <w:tc>
          <w:tcPr>
            <w:tcW w:type="dxa" w:w="3744"/>
            <w:shd w:fill="C6EFCE"/>
          </w:tcPr>
          <w:p>
            <w:r/>
            <w:r>
              <w:rPr>
                <w:b/>
                <w:sz w:val="20"/>
              </w:rPr>
              <w:t>TOTAL ADAM GOVERNANCE OVERLAY</w:t>
            </w:r>
          </w:p>
        </w:tc>
        <w:tc>
          <w:tcPr>
            <w:tcW w:type="dxa" w:w="1224"/>
            <w:shd w:fill="C6EFCE"/>
          </w:tcPr>
          <w:p>
            <w:r/>
            <w:r>
              <w:rPr>
                <w:b/>
                <w:sz w:val="20"/>
              </w:rPr>
              <w:t>$3.62</w:t>
            </w:r>
          </w:p>
        </w:tc>
        <w:tc>
          <w:tcPr>
            <w:tcW w:type="dxa" w:w="3888"/>
            <w:shd w:fill="C6EFCE"/>
          </w:tcPr>
          <w:p>
            <w:r/>
            <w:r>
              <w:rPr>
                <w:b/>
                <w:sz w:val="20"/>
              </w:rPr>
              <w:t>Flat year-on-year</w:t>
            </w:r>
          </w:p>
        </w:tc>
      </w:tr>
    </w:tbl>
    <w:p/>
    <w:p>
      <w:pPr>
        <w:pStyle w:val="Heading3"/>
        <w:spacing w:before="200" w:after="40"/>
      </w:pPr>
      <w:r>
        <w:rPr>
          <w:b/>
          <w:color w:val="2E75B6"/>
          <w:sz w:val="24"/>
        </w:rPr>
        <w:t>Consolidated cost view</w:t>
      </w:r>
    </w:p>
    <w:tbl>
      <w:tblPr>
        <w:tblW w:type="auto" w:w="0"/>
        <w:jc w:val="center"/>
        <w:tblLayout w:type="fixed"/>
        <w:tblLook w:firstColumn="1" w:firstRow="1" w:lastColumn="0" w:lastRow="0" w:noHBand="0" w:noVBand="1" w:val="04A0"/>
      </w:tblPr>
      <w:tblGrid>
        <w:gridCol w:w="3120"/>
        <w:gridCol w:w="3120"/>
        <w:gridCol w:w="3120"/>
      </w:tblGrid>
      <w:tr>
        <w:tc>
          <w:tcPr>
            <w:tcW w:type="dxa" w:w="4032"/>
            <w:shd w:fill="1F3864"/>
            <w:vAlign w:val="center"/>
          </w:tcPr>
          <w:p>
            <w:r/>
            <w:r>
              <w:rPr>
                <w:b/>
                <w:color w:val="FFFFFF"/>
                <w:sz w:val="21"/>
              </w:rPr>
              <w:t>View</w:t>
            </w:r>
          </w:p>
        </w:tc>
        <w:tc>
          <w:tcPr>
            <w:tcW w:type="dxa" w:w="2016"/>
            <w:shd w:fill="1F3864"/>
            <w:vAlign w:val="center"/>
          </w:tcPr>
          <w:p>
            <w:r/>
            <w:r>
              <w:rPr>
                <w:b/>
                <w:color w:val="FFFFFF"/>
                <w:sz w:val="21"/>
              </w:rPr>
              <w:t>Year 1</w:t>
            </w:r>
          </w:p>
        </w:tc>
        <w:tc>
          <w:tcPr>
            <w:tcW w:type="dxa" w:w="2304"/>
            <w:shd w:fill="1F3864"/>
            <w:vAlign w:val="center"/>
          </w:tcPr>
          <w:p>
            <w:r/>
            <w:r>
              <w:rPr>
                <w:b/>
                <w:color w:val="FFFFFF"/>
                <w:sz w:val="21"/>
              </w:rPr>
              <w:t>Per sub / month</w:t>
            </w:r>
          </w:p>
        </w:tc>
      </w:tr>
      <w:tr>
        <w:tc>
          <w:tcPr>
            <w:tcW w:type="dxa" w:w="4032"/>
          </w:tcPr>
          <w:p>
            <w:r/>
            <w:r>
              <w:rPr>
                <w:sz w:val="20"/>
              </w:rPr>
              <w:t>CASH view (CapEx paid upfront)</w:t>
            </w:r>
          </w:p>
        </w:tc>
        <w:tc>
          <w:tcPr>
            <w:tcW w:type="dxa" w:w="2016"/>
          </w:tcPr>
          <w:p>
            <w:r/>
            <w:r>
              <w:rPr>
                <w:sz w:val="20"/>
              </w:rPr>
              <w:t>$71.4 M</w:t>
            </w:r>
          </w:p>
        </w:tc>
        <w:tc>
          <w:tcPr>
            <w:tcW w:type="dxa" w:w="2304"/>
          </w:tcPr>
          <w:p>
            <w:r/>
            <w:r>
              <w:rPr>
                <w:sz w:val="20"/>
              </w:rPr>
              <w:t>$5.95</w:t>
            </w:r>
          </w:p>
        </w:tc>
      </w:tr>
      <w:tr>
        <w:tc>
          <w:tcPr>
            <w:tcW w:type="dxa" w:w="4032"/>
            <w:shd w:fill="F2F2F2"/>
          </w:tcPr>
          <w:p>
            <w:r/>
            <w:r>
              <w:rPr>
                <w:sz w:val="20"/>
              </w:rPr>
              <w:t>Run-rate view (CapEx amortized 5y)</w:t>
            </w:r>
          </w:p>
        </w:tc>
        <w:tc>
          <w:tcPr>
            <w:tcW w:type="dxa" w:w="2016"/>
            <w:shd w:fill="F2F2F2"/>
          </w:tcPr>
          <w:p>
            <w:r/>
            <w:r>
              <w:rPr>
                <w:sz w:val="20"/>
              </w:rPr>
              <w:t>$39.0 M</w:t>
            </w:r>
          </w:p>
        </w:tc>
        <w:tc>
          <w:tcPr>
            <w:tcW w:type="dxa" w:w="2304"/>
            <w:shd w:fill="F2F2F2"/>
          </w:tcPr>
          <w:p>
            <w:r/>
            <w:r>
              <w:rPr>
                <w:sz w:val="20"/>
              </w:rPr>
              <w:t>$3.25</w:t>
            </w:r>
          </w:p>
        </w:tc>
      </w:tr>
      <w:tr>
        <w:tc>
          <w:tcPr>
            <w:tcW w:type="dxa" w:w="4032"/>
          </w:tcPr>
          <w:p>
            <w:r/>
            <w:r>
              <w:rPr>
                <w:sz w:val="20"/>
              </w:rPr>
              <w:t>Multi-cloud reference (run-rate)</w:t>
            </w:r>
          </w:p>
        </w:tc>
        <w:tc>
          <w:tcPr>
            <w:tcW w:type="dxa" w:w="2016"/>
          </w:tcPr>
          <w:p>
            <w:r/>
            <w:r>
              <w:rPr>
                <w:sz w:val="20"/>
              </w:rPr>
              <w:t>$47.5 M</w:t>
            </w:r>
          </w:p>
        </w:tc>
        <w:tc>
          <w:tcPr>
            <w:tcW w:type="dxa" w:w="2304"/>
          </w:tcPr>
          <w:p>
            <w:r/>
            <w:r>
              <w:rPr>
                <w:sz w:val="20"/>
              </w:rPr>
              <w:t>$3.96</w:t>
            </w:r>
          </w:p>
        </w:tc>
      </w:tr>
      <w:tr>
        <w:tc>
          <w:tcPr>
            <w:tcW w:type="dxa" w:w="4032"/>
            <w:shd w:fill="C6EFCE"/>
          </w:tcPr>
          <w:p>
            <w:r/>
            <w:r>
              <w:rPr>
                <w:b/>
                <w:sz w:val="20"/>
              </w:rPr>
              <w:t>Δ On-prem vs Multi-cloud run-rate</w:t>
            </w:r>
          </w:p>
        </w:tc>
        <w:tc>
          <w:tcPr>
            <w:tcW w:type="dxa" w:w="2016"/>
            <w:shd w:fill="C6EFCE"/>
          </w:tcPr>
          <w:p>
            <w:r/>
            <w:r>
              <w:rPr>
                <w:b/>
                <w:sz w:val="20"/>
              </w:rPr>
              <w:t>−$8.5 M</w:t>
            </w:r>
          </w:p>
        </w:tc>
        <w:tc>
          <w:tcPr>
            <w:tcW w:type="dxa" w:w="2304"/>
            <w:shd w:fill="C6EFCE"/>
          </w:tcPr>
          <w:p>
            <w:r/>
            <w:r>
              <w:rPr>
                <w:b/>
                <w:sz w:val="20"/>
              </w:rPr>
              <w:t>−$0.71</w:t>
            </w:r>
          </w:p>
        </w:tc>
      </w:tr>
    </w:tbl>
    <w:p>
      <w:r>
        <w:br/>
      </w:r>
    </w:p>
    <w:p>
      <w:pPr>
        <w:pStyle w:val="Heading1"/>
        <w:spacing w:before="320" w:after="160"/>
      </w:pPr>
      <w:r>
        <w:rPr>
          <w:rFonts w:ascii="Calibri" w:hAnsi="Calibri"/>
          <w:b/>
          <w:color w:val="1F3864"/>
          <w:sz w:val="40"/>
        </w:rPr>
        <w:t>Revenue Model &amp; Pricing Scenarios</w:t>
      </w:r>
    </w:p>
    <w:p>
      <w:pPr>
        <w:pStyle w:val="Heading2"/>
        <w:spacing w:before="280" w:after="80"/>
      </w:pPr>
      <w:r>
        <w:rPr>
          <w:b/>
          <w:color w:val="1F3864"/>
          <w:sz w:val="28"/>
        </w:rPr>
        <w:t>Tier mix and ARPU at Recommended pricing</w:t>
      </w:r>
    </w:p>
    <w:p>
      <w:pPr>
        <w:spacing w:after="120"/>
      </w:pPr>
      <w:r>
        <w:rPr>
          <w:b w:val="0"/>
          <w:i w:val="0"/>
          <w:sz w:val="22"/>
        </w:rPr>
        <w:t>The model assumes a 5-tier structure with a new 'Premium Plus' sovereignty-bundled anchor. The mix is set at 20% ad-supported / 10% Basic SD / 40% Standard HD / 25% Premium UHD / 5% Premium Plus — chosen to match observed EU/US streaming mixes, with room for the Premium Plus tier to grow as the sovereignty message lands.</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2736"/>
            <w:shd w:fill="1F3864"/>
            <w:vAlign w:val="center"/>
          </w:tcPr>
          <w:p>
            <w:r/>
            <w:r>
              <w:rPr>
                <w:b/>
                <w:color w:val="FFFFFF"/>
                <w:sz w:val="21"/>
              </w:rPr>
              <w:t>Tier</w:t>
            </w:r>
          </w:p>
        </w:tc>
        <w:tc>
          <w:tcPr>
            <w:tcW w:type="dxa" w:w="1008"/>
            <w:shd w:fill="1F3864"/>
            <w:vAlign w:val="center"/>
          </w:tcPr>
          <w:p>
            <w:r/>
            <w:r>
              <w:rPr>
                <w:b/>
                <w:color w:val="FFFFFF"/>
                <w:sz w:val="21"/>
              </w:rPr>
              <w:t>Mix %</w:t>
            </w:r>
          </w:p>
        </w:tc>
        <w:tc>
          <w:tcPr>
            <w:tcW w:type="dxa" w:w="1368"/>
            <w:shd w:fill="1F3864"/>
            <w:vAlign w:val="center"/>
          </w:tcPr>
          <w:p>
            <w:r/>
            <w:r>
              <w:rPr>
                <w:b/>
                <w:color w:val="FFFFFF"/>
                <w:sz w:val="21"/>
              </w:rPr>
              <w:t>Price /mo</w:t>
            </w:r>
          </w:p>
        </w:tc>
        <w:tc>
          <w:tcPr>
            <w:tcW w:type="dxa" w:w="1368"/>
            <w:shd w:fill="1F3864"/>
            <w:vAlign w:val="center"/>
          </w:tcPr>
          <w:p>
            <w:r/>
            <w:r>
              <w:rPr>
                <w:b/>
                <w:color w:val="FFFFFF"/>
                <w:sz w:val="21"/>
              </w:rPr>
              <w:t>Subs</w:t>
            </w:r>
          </w:p>
        </w:tc>
        <w:tc>
          <w:tcPr>
            <w:tcW w:type="dxa" w:w="1872"/>
            <w:shd w:fill="1F3864"/>
            <w:vAlign w:val="center"/>
          </w:tcPr>
          <w:p>
            <w:r/>
            <w:r>
              <w:rPr>
                <w:b/>
                <w:color w:val="FFFFFF"/>
                <w:sz w:val="21"/>
              </w:rPr>
              <w:t>Annual $</w:t>
            </w:r>
          </w:p>
        </w:tc>
      </w:tr>
      <w:tr>
        <w:tc>
          <w:tcPr>
            <w:tcW w:type="dxa" w:w="2736"/>
          </w:tcPr>
          <w:p>
            <w:r/>
            <w:r>
              <w:rPr>
                <w:sz w:val="20"/>
              </w:rPr>
              <w:t>Ad-supported</w:t>
            </w:r>
          </w:p>
        </w:tc>
        <w:tc>
          <w:tcPr>
            <w:tcW w:type="dxa" w:w="1008"/>
          </w:tcPr>
          <w:p>
            <w:r/>
            <w:r>
              <w:rPr>
                <w:sz w:val="20"/>
              </w:rPr>
              <w:t>20%</w:t>
            </w:r>
          </w:p>
        </w:tc>
        <w:tc>
          <w:tcPr>
            <w:tcW w:type="dxa" w:w="1368"/>
          </w:tcPr>
          <w:p>
            <w:r/>
            <w:r>
              <w:rPr>
                <w:sz w:val="20"/>
              </w:rPr>
              <w:t>$5.99</w:t>
            </w:r>
          </w:p>
        </w:tc>
        <w:tc>
          <w:tcPr>
            <w:tcW w:type="dxa" w:w="1368"/>
          </w:tcPr>
          <w:p>
            <w:r/>
            <w:r>
              <w:rPr>
                <w:sz w:val="20"/>
              </w:rPr>
              <w:t>200,000</w:t>
            </w:r>
          </w:p>
        </w:tc>
        <w:tc>
          <w:tcPr>
            <w:tcW w:type="dxa" w:w="1872"/>
          </w:tcPr>
          <w:p>
            <w:r/>
            <w:r>
              <w:rPr>
                <w:sz w:val="20"/>
              </w:rPr>
              <w:t>$14.38 M</w:t>
            </w:r>
          </w:p>
        </w:tc>
      </w:tr>
      <w:tr>
        <w:tc>
          <w:tcPr>
            <w:tcW w:type="dxa" w:w="2736"/>
            <w:shd w:fill="F2F2F2"/>
          </w:tcPr>
          <w:p>
            <w:r/>
            <w:r>
              <w:rPr>
                <w:sz w:val="20"/>
              </w:rPr>
              <w:t>Basic SD</w:t>
            </w:r>
          </w:p>
        </w:tc>
        <w:tc>
          <w:tcPr>
            <w:tcW w:type="dxa" w:w="1008"/>
            <w:shd w:fill="F2F2F2"/>
          </w:tcPr>
          <w:p>
            <w:r/>
            <w:r>
              <w:rPr>
                <w:sz w:val="20"/>
              </w:rPr>
              <w:t>10%</w:t>
            </w:r>
          </w:p>
        </w:tc>
        <w:tc>
          <w:tcPr>
            <w:tcW w:type="dxa" w:w="1368"/>
            <w:shd w:fill="F2F2F2"/>
          </w:tcPr>
          <w:p>
            <w:r/>
            <w:r>
              <w:rPr>
                <w:sz w:val="20"/>
              </w:rPr>
              <w:t>$9.99</w:t>
            </w:r>
          </w:p>
        </w:tc>
        <w:tc>
          <w:tcPr>
            <w:tcW w:type="dxa" w:w="1368"/>
            <w:shd w:fill="F2F2F2"/>
          </w:tcPr>
          <w:p>
            <w:r/>
            <w:r>
              <w:rPr>
                <w:sz w:val="20"/>
              </w:rPr>
              <w:t>100,000</w:t>
            </w:r>
          </w:p>
        </w:tc>
        <w:tc>
          <w:tcPr>
            <w:tcW w:type="dxa" w:w="1872"/>
            <w:shd w:fill="F2F2F2"/>
          </w:tcPr>
          <w:p>
            <w:r/>
            <w:r>
              <w:rPr>
                <w:sz w:val="20"/>
              </w:rPr>
              <w:t>$11.99 M</w:t>
            </w:r>
          </w:p>
        </w:tc>
      </w:tr>
      <w:tr>
        <w:tc>
          <w:tcPr>
            <w:tcW w:type="dxa" w:w="2736"/>
          </w:tcPr>
          <w:p>
            <w:r/>
            <w:r>
              <w:rPr>
                <w:sz w:val="20"/>
              </w:rPr>
              <w:t>Standard HD</w:t>
            </w:r>
          </w:p>
        </w:tc>
        <w:tc>
          <w:tcPr>
            <w:tcW w:type="dxa" w:w="1008"/>
          </w:tcPr>
          <w:p>
            <w:r/>
            <w:r>
              <w:rPr>
                <w:sz w:val="20"/>
              </w:rPr>
              <w:t>40%</w:t>
            </w:r>
          </w:p>
        </w:tc>
        <w:tc>
          <w:tcPr>
            <w:tcW w:type="dxa" w:w="1368"/>
          </w:tcPr>
          <w:p>
            <w:r/>
            <w:r>
              <w:rPr>
                <w:sz w:val="20"/>
              </w:rPr>
              <w:t>$14.99</w:t>
            </w:r>
          </w:p>
        </w:tc>
        <w:tc>
          <w:tcPr>
            <w:tcW w:type="dxa" w:w="1368"/>
          </w:tcPr>
          <w:p>
            <w:r/>
            <w:r>
              <w:rPr>
                <w:sz w:val="20"/>
              </w:rPr>
              <w:t>400,000</w:t>
            </w:r>
          </w:p>
        </w:tc>
        <w:tc>
          <w:tcPr>
            <w:tcW w:type="dxa" w:w="1872"/>
          </w:tcPr>
          <w:p>
            <w:r/>
            <w:r>
              <w:rPr>
                <w:sz w:val="20"/>
              </w:rPr>
              <w:t>$71.95 M</w:t>
            </w:r>
          </w:p>
        </w:tc>
      </w:tr>
      <w:tr>
        <w:tc>
          <w:tcPr>
            <w:tcW w:type="dxa" w:w="2736"/>
            <w:shd w:fill="F2F2F2"/>
          </w:tcPr>
          <w:p>
            <w:r/>
            <w:r>
              <w:rPr>
                <w:sz w:val="20"/>
              </w:rPr>
              <w:t>Premium UHD</w:t>
            </w:r>
          </w:p>
        </w:tc>
        <w:tc>
          <w:tcPr>
            <w:tcW w:type="dxa" w:w="1008"/>
            <w:shd w:fill="F2F2F2"/>
          </w:tcPr>
          <w:p>
            <w:r/>
            <w:r>
              <w:rPr>
                <w:sz w:val="20"/>
              </w:rPr>
              <w:t>25%</w:t>
            </w:r>
          </w:p>
        </w:tc>
        <w:tc>
          <w:tcPr>
            <w:tcW w:type="dxa" w:w="1368"/>
            <w:shd w:fill="F2F2F2"/>
          </w:tcPr>
          <w:p>
            <w:r/>
            <w:r>
              <w:rPr>
                <w:sz w:val="20"/>
              </w:rPr>
              <w:t>$19.99</w:t>
            </w:r>
          </w:p>
        </w:tc>
        <w:tc>
          <w:tcPr>
            <w:tcW w:type="dxa" w:w="1368"/>
            <w:shd w:fill="F2F2F2"/>
          </w:tcPr>
          <w:p>
            <w:r/>
            <w:r>
              <w:rPr>
                <w:sz w:val="20"/>
              </w:rPr>
              <w:t>250,000</w:t>
            </w:r>
          </w:p>
        </w:tc>
        <w:tc>
          <w:tcPr>
            <w:tcW w:type="dxa" w:w="1872"/>
            <w:shd w:fill="F2F2F2"/>
          </w:tcPr>
          <w:p>
            <w:r/>
            <w:r>
              <w:rPr>
                <w:sz w:val="20"/>
              </w:rPr>
              <w:t>$59.97 M</w:t>
            </w:r>
          </w:p>
        </w:tc>
      </w:tr>
      <w:tr>
        <w:tc>
          <w:tcPr>
            <w:tcW w:type="dxa" w:w="2736"/>
          </w:tcPr>
          <w:p>
            <w:r/>
            <w:r>
              <w:rPr>
                <w:sz w:val="20"/>
              </w:rPr>
              <w:t>Premium Plus (sov.)</w:t>
            </w:r>
          </w:p>
        </w:tc>
        <w:tc>
          <w:tcPr>
            <w:tcW w:type="dxa" w:w="1008"/>
          </w:tcPr>
          <w:p>
            <w:r/>
            <w:r>
              <w:rPr>
                <w:sz w:val="20"/>
              </w:rPr>
              <w:t>5%</w:t>
            </w:r>
          </w:p>
        </w:tc>
        <w:tc>
          <w:tcPr>
            <w:tcW w:type="dxa" w:w="1368"/>
          </w:tcPr>
          <w:p>
            <w:r/>
            <w:r>
              <w:rPr>
                <w:sz w:val="20"/>
              </w:rPr>
              <w:t>$27.99</w:t>
            </w:r>
          </w:p>
        </w:tc>
        <w:tc>
          <w:tcPr>
            <w:tcW w:type="dxa" w:w="1368"/>
          </w:tcPr>
          <w:p>
            <w:r/>
            <w:r>
              <w:rPr>
                <w:sz w:val="20"/>
              </w:rPr>
              <w:t>50,000</w:t>
            </w:r>
          </w:p>
        </w:tc>
        <w:tc>
          <w:tcPr>
            <w:tcW w:type="dxa" w:w="1872"/>
          </w:tcPr>
          <w:p>
            <w:r/>
            <w:r>
              <w:rPr>
                <w:sz w:val="20"/>
              </w:rPr>
              <w:t>$16.79 M</w:t>
            </w:r>
          </w:p>
        </w:tc>
      </w:tr>
      <w:tr>
        <w:tc>
          <w:tcPr>
            <w:tcW w:type="dxa" w:w="2736"/>
            <w:shd w:fill="F2F2F2"/>
          </w:tcPr>
          <w:p>
            <w:r/>
            <w:r>
              <w:rPr>
                <w:sz w:val="20"/>
              </w:rPr>
              <w:t>Subtotal subscription</w:t>
            </w:r>
          </w:p>
        </w:tc>
        <w:tc>
          <w:tcPr>
            <w:tcW w:type="dxa" w:w="1008"/>
            <w:shd w:fill="F2F2F2"/>
          </w:tcPr>
          <w:p>
            <w:r/>
            <w:r>
              <w:rPr>
                <w:sz w:val="20"/>
              </w:rPr>
              <w:t>100%</w:t>
            </w:r>
          </w:p>
        </w:tc>
        <w:tc>
          <w:tcPr>
            <w:tcW w:type="dxa" w:w="1368"/>
            <w:shd w:fill="F2F2F2"/>
          </w:tcPr>
          <w:p>
            <w:r/>
            <w:r>
              <w:rPr>
                <w:sz w:val="20"/>
              </w:rPr>
              <w:t>—</w:t>
            </w:r>
          </w:p>
        </w:tc>
        <w:tc>
          <w:tcPr>
            <w:tcW w:type="dxa" w:w="1368"/>
            <w:shd w:fill="F2F2F2"/>
          </w:tcPr>
          <w:p>
            <w:r/>
            <w:r>
              <w:rPr>
                <w:sz w:val="20"/>
              </w:rPr>
              <w:t>1,000,000</w:t>
            </w:r>
          </w:p>
        </w:tc>
        <w:tc>
          <w:tcPr>
            <w:tcW w:type="dxa" w:w="1872"/>
            <w:shd w:fill="F2F2F2"/>
          </w:tcPr>
          <w:p>
            <w:r/>
            <w:r>
              <w:rPr>
                <w:sz w:val="20"/>
              </w:rPr>
              <w:t>$175.08 M</w:t>
            </w:r>
          </w:p>
        </w:tc>
      </w:tr>
      <w:tr>
        <w:tc>
          <w:tcPr>
            <w:tcW w:type="dxa" w:w="2736"/>
          </w:tcPr>
          <w:p>
            <w:r/>
            <w:r>
              <w:rPr>
                <w:sz w:val="20"/>
              </w:rPr>
              <w:t>Ad revenue (ad-tier × $8.50/mo CPM uplift)</w:t>
            </w:r>
          </w:p>
        </w:tc>
        <w:tc>
          <w:tcPr>
            <w:tcW w:type="dxa" w:w="1008"/>
          </w:tcPr>
          <w:p>
            <w:r/>
            <w:r>
              <w:rPr>
                <w:sz w:val="20"/>
              </w:rPr>
            </w:r>
          </w:p>
        </w:tc>
        <w:tc>
          <w:tcPr>
            <w:tcW w:type="dxa" w:w="1368"/>
          </w:tcPr>
          <w:p>
            <w:r/>
            <w:r>
              <w:rPr>
                <w:sz w:val="20"/>
              </w:rPr>
            </w:r>
          </w:p>
        </w:tc>
        <w:tc>
          <w:tcPr>
            <w:tcW w:type="dxa" w:w="1368"/>
          </w:tcPr>
          <w:p>
            <w:r/>
            <w:r>
              <w:rPr>
                <w:sz w:val="20"/>
              </w:rPr>
            </w:r>
          </w:p>
        </w:tc>
        <w:tc>
          <w:tcPr>
            <w:tcW w:type="dxa" w:w="1872"/>
          </w:tcPr>
          <w:p>
            <w:r/>
            <w:r>
              <w:rPr>
                <w:sz w:val="20"/>
              </w:rPr>
              <w:t>$20.40 M</w:t>
            </w:r>
          </w:p>
        </w:tc>
      </w:tr>
      <w:tr>
        <w:tc>
          <w:tcPr>
            <w:tcW w:type="dxa" w:w="2736"/>
            <w:shd w:fill="C6EFCE"/>
          </w:tcPr>
          <w:p>
            <w:r/>
            <w:r>
              <w:rPr>
                <w:b/>
                <w:sz w:val="20"/>
              </w:rPr>
              <w:t>TOTAL ANNUAL REVENUE (Year 1)</w:t>
            </w:r>
          </w:p>
        </w:tc>
        <w:tc>
          <w:tcPr>
            <w:tcW w:type="dxa" w:w="1008"/>
            <w:shd w:fill="C6EFCE"/>
          </w:tcPr>
          <w:p>
            <w:r/>
            <w:r>
              <w:rPr>
                <w:b/>
                <w:sz w:val="20"/>
              </w:rPr>
            </w:r>
          </w:p>
        </w:tc>
        <w:tc>
          <w:tcPr>
            <w:tcW w:type="dxa" w:w="1368"/>
            <w:shd w:fill="C6EFCE"/>
          </w:tcPr>
          <w:p>
            <w:r/>
            <w:r>
              <w:rPr>
                <w:b/>
                <w:sz w:val="20"/>
              </w:rPr>
            </w:r>
          </w:p>
        </w:tc>
        <w:tc>
          <w:tcPr>
            <w:tcW w:type="dxa" w:w="1368"/>
            <w:shd w:fill="C6EFCE"/>
          </w:tcPr>
          <w:p>
            <w:r/>
            <w:r>
              <w:rPr>
                <w:b/>
                <w:sz w:val="20"/>
              </w:rPr>
            </w:r>
          </w:p>
        </w:tc>
        <w:tc>
          <w:tcPr>
            <w:tcW w:type="dxa" w:w="1872"/>
            <w:shd w:fill="C6EFCE"/>
          </w:tcPr>
          <w:p>
            <w:r/>
            <w:r>
              <w:rPr>
                <w:b/>
                <w:sz w:val="20"/>
              </w:rPr>
              <w:t>$195.48 M</w:t>
            </w:r>
          </w:p>
        </w:tc>
      </w:tr>
    </w:tbl>
    <w:p/>
    <w:p>
      <w:pPr>
        <w:pStyle w:val="Heading2"/>
        <w:spacing w:before="280" w:after="80"/>
      </w:pPr>
      <w:r>
        <w:rPr>
          <w:b/>
          <w:color w:val="1F3864"/>
          <w:sz w:val="28"/>
        </w:rPr>
        <w:t>Pricing scenarios — four views against the same cost base</w:t>
      </w:r>
    </w:p>
    <w:p>
      <w:pPr>
        <w:spacing w:after="120"/>
      </w:pPr>
      <w:r>
        <w:rPr>
          <w:b w:val="0"/>
          <w:i w:val="0"/>
          <w:sz w:val="22"/>
        </w:rPr>
        <w:t>The workbook presents four pricing scenarios holding the cost structure constant. The cost base does not change — only the tier prices and the mix do — which is the appropriate way to test pricing elasticity without confounding it with infrastructure decisions.</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2448"/>
            <w:shd w:fill="1F3864"/>
            <w:vAlign w:val="center"/>
          </w:tcPr>
          <w:p>
            <w:r/>
            <w:r>
              <w:rPr>
                <w:b/>
                <w:color w:val="FFFFFF"/>
                <w:sz w:val="21"/>
              </w:rPr>
              <w:t>Tier</w:t>
            </w:r>
          </w:p>
        </w:tc>
        <w:tc>
          <w:tcPr>
            <w:tcW w:type="dxa" w:w="1584"/>
            <w:shd w:fill="1F3864"/>
            <w:vAlign w:val="center"/>
          </w:tcPr>
          <w:p>
            <w:r/>
            <w:r>
              <w:rPr>
                <w:b/>
                <w:color w:val="FFFFFF"/>
                <w:sz w:val="21"/>
              </w:rPr>
              <w:t>A: Market</w:t>
            </w:r>
          </w:p>
        </w:tc>
        <w:tc>
          <w:tcPr>
            <w:tcW w:type="dxa" w:w="1872"/>
            <w:shd w:fill="1F3864"/>
            <w:vAlign w:val="center"/>
          </w:tcPr>
          <w:p>
            <w:r/>
            <w:r>
              <w:rPr>
                <w:b/>
                <w:color w:val="FFFFFF"/>
                <w:sz w:val="21"/>
              </w:rPr>
              <w:t>B: Conservative</w:t>
            </w:r>
          </w:p>
        </w:tc>
        <w:tc>
          <w:tcPr>
            <w:tcW w:type="dxa" w:w="1872"/>
            <w:shd w:fill="1F3864"/>
            <w:vAlign w:val="center"/>
          </w:tcPr>
          <w:p>
            <w:r/>
            <w:r>
              <w:rPr>
                <w:b/>
                <w:color w:val="FFFFFF"/>
                <w:sz w:val="21"/>
              </w:rPr>
              <w:t>C: Recommended</w:t>
            </w:r>
          </w:p>
        </w:tc>
        <w:tc>
          <w:tcPr>
            <w:tcW w:type="dxa" w:w="1584"/>
            <w:shd w:fill="1F3864"/>
            <w:vAlign w:val="center"/>
          </w:tcPr>
          <w:p>
            <w:r/>
            <w:r>
              <w:rPr>
                <w:b/>
                <w:color w:val="FFFFFF"/>
                <w:sz w:val="21"/>
              </w:rPr>
              <w:t>D: Premium</w:t>
            </w:r>
          </w:p>
        </w:tc>
      </w:tr>
      <w:tr>
        <w:tc>
          <w:tcPr>
            <w:tcW w:type="dxa" w:w="2448"/>
          </w:tcPr>
          <w:p>
            <w:r/>
            <w:r>
              <w:rPr>
                <w:sz w:val="20"/>
              </w:rPr>
              <w:t>Ad-supported</w:t>
            </w:r>
          </w:p>
        </w:tc>
        <w:tc>
          <w:tcPr>
            <w:tcW w:type="dxa" w:w="1584"/>
          </w:tcPr>
          <w:p>
            <w:r/>
            <w:r>
              <w:rPr>
                <w:sz w:val="20"/>
              </w:rPr>
              <w:t>$5.99</w:t>
            </w:r>
          </w:p>
        </w:tc>
        <w:tc>
          <w:tcPr>
            <w:tcW w:type="dxa" w:w="1872"/>
          </w:tcPr>
          <w:p>
            <w:r/>
            <w:r>
              <w:rPr>
                <w:sz w:val="20"/>
              </w:rPr>
              <w:t>$4.99</w:t>
            </w:r>
          </w:p>
        </w:tc>
        <w:tc>
          <w:tcPr>
            <w:tcW w:type="dxa" w:w="1872"/>
          </w:tcPr>
          <w:p>
            <w:r/>
            <w:r>
              <w:rPr>
                <w:sz w:val="20"/>
              </w:rPr>
              <w:t>$5.99</w:t>
            </w:r>
          </w:p>
        </w:tc>
        <w:tc>
          <w:tcPr>
            <w:tcW w:type="dxa" w:w="1584"/>
          </w:tcPr>
          <w:p>
            <w:r/>
            <w:r>
              <w:rPr>
                <w:sz w:val="20"/>
              </w:rPr>
              <w:t>$6.99</w:t>
            </w:r>
          </w:p>
        </w:tc>
      </w:tr>
      <w:tr>
        <w:tc>
          <w:tcPr>
            <w:tcW w:type="dxa" w:w="2448"/>
            <w:shd w:fill="F2F2F2"/>
          </w:tcPr>
          <w:p>
            <w:r/>
            <w:r>
              <w:rPr>
                <w:sz w:val="20"/>
              </w:rPr>
              <w:t>Basic SD</w:t>
            </w:r>
          </w:p>
        </w:tc>
        <w:tc>
          <w:tcPr>
            <w:tcW w:type="dxa" w:w="1584"/>
            <w:shd w:fill="F2F2F2"/>
          </w:tcPr>
          <w:p>
            <w:r/>
            <w:r>
              <w:rPr>
                <w:sz w:val="20"/>
              </w:rPr>
              <w:t>$9.99</w:t>
            </w:r>
          </w:p>
        </w:tc>
        <w:tc>
          <w:tcPr>
            <w:tcW w:type="dxa" w:w="1872"/>
            <w:shd w:fill="F2F2F2"/>
          </w:tcPr>
          <w:p>
            <w:r/>
            <w:r>
              <w:rPr>
                <w:sz w:val="20"/>
              </w:rPr>
              <w:t>$8.99</w:t>
            </w:r>
          </w:p>
        </w:tc>
        <w:tc>
          <w:tcPr>
            <w:tcW w:type="dxa" w:w="1872"/>
            <w:shd w:fill="F2F2F2"/>
          </w:tcPr>
          <w:p>
            <w:r/>
            <w:r>
              <w:rPr>
                <w:sz w:val="20"/>
              </w:rPr>
              <w:t>$9.99</w:t>
            </w:r>
          </w:p>
        </w:tc>
        <w:tc>
          <w:tcPr>
            <w:tcW w:type="dxa" w:w="1584"/>
            <w:shd w:fill="F2F2F2"/>
          </w:tcPr>
          <w:p>
            <w:r/>
            <w:r>
              <w:rPr>
                <w:sz w:val="20"/>
              </w:rPr>
              <w:t>$11.99</w:t>
            </w:r>
          </w:p>
        </w:tc>
      </w:tr>
      <w:tr>
        <w:tc>
          <w:tcPr>
            <w:tcW w:type="dxa" w:w="2448"/>
          </w:tcPr>
          <w:p>
            <w:r/>
            <w:r>
              <w:rPr>
                <w:sz w:val="20"/>
              </w:rPr>
              <w:t>Standard HD</w:t>
            </w:r>
          </w:p>
        </w:tc>
        <w:tc>
          <w:tcPr>
            <w:tcW w:type="dxa" w:w="1584"/>
          </w:tcPr>
          <w:p>
            <w:r/>
            <w:r>
              <w:rPr>
                <w:sz w:val="20"/>
              </w:rPr>
              <w:t>$14.99</w:t>
            </w:r>
          </w:p>
        </w:tc>
        <w:tc>
          <w:tcPr>
            <w:tcW w:type="dxa" w:w="1872"/>
          </w:tcPr>
          <w:p>
            <w:r/>
            <w:r>
              <w:rPr>
                <w:sz w:val="20"/>
              </w:rPr>
              <w:t>$13.99</w:t>
            </w:r>
          </w:p>
        </w:tc>
        <w:tc>
          <w:tcPr>
            <w:tcW w:type="dxa" w:w="1872"/>
          </w:tcPr>
          <w:p>
            <w:r/>
            <w:r>
              <w:rPr>
                <w:sz w:val="20"/>
              </w:rPr>
              <w:t>$14.99</w:t>
            </w:r>
          </w:p>
        </w:tc>
        <w:tc>
          <w:tcPr>
            <w:tcW w:type="dxa" w:w="1584"/>
          </w:tcPr>
          <w:p>
            <w:r/>
            <w:r>
              <w:rPr>
                <w:sz w:val="20"/>
              </w:rPr>
              <w:t>$16.99</w:t>
            </w:r>
          </w:p>
        </w:tc>
      </w:tr>
      <w:tr>
        <w:tc>
          <w:tcPr>
            <w:tcW w:type="dxa" w:w="2448"/>
            <w:shd w:fill="F2F2F2"/>
          </w:tcPr>
          <w:p>
            <w:r/>
            <w:r>
              <w:rPr>
                <w:sz w:val="20"/>
              </w:rPr>
              <w:t>Premium UHD</w:t>
            </w:r>
          </w:p>
        </w:tc>
        <w:tc>
          <w:tcPr>
            <w:tcW w:type="dxa" w:w="1584"/>
            <w:shd w:fill="F2F2F2"/>
          </w:tcPr>
          <w:p>
            <w:r/>
            <w:r>
              <w:rPr>
                <w:sz w:val="20"/>
              </w:rPr>
              <w:t>$19.99</w:t>
            </w:r>
          </w:p>
        </w:tc>
        <w:tc>
          <w:tcPr>
            <w:tcW w:type="dxa" w:w="1872"/>
            <w:shd w:fill="F2F2F2"/>
          </w:tcPr>
          <w:p>
            <w:r/>
            <w:r>
              <w:rPr>
                <w:sz w:val="20"/>
              </w:rPr>
              <w:t>$18.99</w:t>
            </w:r>
          </w:p>
        </w:tc>
        <w:tc>
          <w:tcPr>
            <w:tcW w:type="dxa" w:w="1872"/>
            <w:shd w:fill="F2F2F2"/>
          </w:tcPr>
          <w:p>
            <w:r/>
            <w:r>
              <w:rPr>
                <w:sz w:val="20"/>
              </w:rPr>
              <w:t>$19.99</w:t>
            </w:r>
          </w:p>
        </w:tc>
        <w:tc>
          <w:tcPr>
            <w:tcW w:type="dxa" w:w="1584"/>
            <w:shd w:fill="F2F2F2"/>
          </w:tcPr>
          <w:p>
            <w:r/>
            <w:r>
              <w:rPr>
                <w:sz w:val="20"/>
              </w:rPr>
              <w:t>$22.99</w:t>
            </w:r>
          </w:p>
        </w:tc>
      </w:tr>
      <w:tr>
        <w:tc>
          <w:tcPr>
            <w:tcW w:type="dxa" w:w="2448"/>
          </w:tcPr>
          <w:p>
            <w:r/>
            <w:r>
              <w:rPr>
                <w:sz w:val="20"/>
              </w:rPr>
              <w:t>Premium Plus</w:t>
            </w:r>
          </w:p>
        </w:tc>
        <w:tc>
          <w:tcPr>
            <w:tcW w:type="dxa" w:w="1584"/>
          </w:tcPr>
          <w:p>
            <w:r/>
            <w:r>
              <w:rPr>
                <w:sz w:val="20"/>
              </w:rPr>
              <w:t>$24.99</w:t>
            </w:r>
          </w:p>
        </w:tc>
        <w:tc>
          <w:tcPr>
            <w:tcW w:type="dxa" w:w="1872"/>
          </w:tcPr>
          <w:p>
            <w:r/>
            <w:r>
              <w:rPr>
                <w:sz w:val="20"/>
              </w:rPr>
              <w:t>$24.99</w:t>
            </w:r>
          </w:p>
        </w:tc>
        <w:tc>
          <w:tcPr>
            <w:tcW w:type="dxa" w:w="1872"/>
          </w:tcPr>
          <w:p>
            <w:r/>
            <w:r>
              <w:rPr>
                <w:sz w:val="20"/>
              </w:rPr>
              <w:t>$27.99</w:t>
            </w:r>
          </w:p>
        </w:tc>
        <w:tc>
          <w:tcPr>
            <w:tcW w:type="dxa" w:w="1584"/>
          </w:tcPr>
          <w:p>
            <w:r/>
            <w:r>
              <w:rPr>
                <w:sz w:val="20"/>
              </w:rPr>
              <w:t>$32.99</w:t>
            </w:r>
          </w:p>
        </w:tc>
      </w:tr>
      <w:tr>
        <w:tc>
          <w:tcPr>
            <w:tcW w:type="dxa" w:w="2448"/>
            <w:shd w:fill="F2F2F2"/>
          </w:tcPr>
          <w:p>
            <w:r/>
            <w:r>
              <w:rPr>
                <w:sz w:val="20"/>
              </w:rPr>
              <w:t>Blended ARPU</w:t>
            </w:r>
          </w:p>
        </w:tc>
        <w:tc>
          <w:tcPr>
            <w:tcW w:type="dxa" w:w="1584"/>
            <w:shd w:fill="F2F2F2"/>
          </w:tcPr>
          <w:p>
            <w:r/>
            <w:r>
              <w:rPr>
                <w:sz w:val="20"/>
              </w:rPr>
              <w:t>$16.14</w:t>
            </w:r>
          </w:p>
        </w:tc>
        <w:tc>
          <w:tcPr>
            <w:tcW w:type="dxa" w:w="1872"/>
            <w:shd w:fill="F2F2F2"/>
          </w:tcPr>
          <w:p>
            <w:r/>
            <w:r>
              <w:rPr>
                <w:sz w:val="20"/>
              </w:rPr>
              <w:t>$15.19</w:t>
            </w:r>
          </w:p>
        </w:tc>
        <w:tc>
          <w:tcPr>
            <w:tcW w:type="dxa" w:w="1872"/>
            <w:shd w:fill="F2F2F2"/>
          </w:tcPr>
          <w:p>
            <w:r/>
            <w:r>
              <w:rPr>
                <w:sz w:val="20"/>
              </w:rPr>
              <w:t>$16.29</w:t>
            </w:r>
          </w:p>
        </w:tc>
        <w:tc>
          <w:tcPr>
            <w:tcW w:type="dxa" w:w="1584"/>
            <w:shd w:fill="F2F2F2"/>
          </w:tcPr>
          <w:p>
            <w:r/>
            <w:r>
              <w:rPr>
                <w:sz w:val="20"/>
              </w:rPr>
              <w:t>$19.59</w:t>
            </w:r>
          </w:p>
        </w:tc>
      </w:tr>
      <w:tr>
        <w:tc>
          <w:tcPr>
            <w:tcW w:type="dxa" w:w="2448"/>
          </w:tcPr>
          <w:p>
            <w:r/>
            <w:r>
              <w:rPr>
                <w:sz w:val="20"/>
              </w:rPr>
              <w:t>Annual revenue</w:t>
            </w:r>
          </w:p>
        </w:tc>
        <w:tc>
          <w:tcPr>
            <w:tcW w:type="dxa" w:w="1584"/>
          </w:tcPr>
          <w:p>
            <w:r/>
            <w:r>
              <w:rPr>
                <w:sz w:val="20"/>
              </w:rPr>
              <w:t>$193.7 M</w:t>
            </w:r>
          </w:p>
        </w:tc>
        <w:tc>
          <w:tcPr>
            <w:tcW w:type="dxa" w:w="1872"/>
          </w:tcPr>
          <w:p>
            <w:r/>
            <w:r>
              <w:rPr>
                <w:sz w:val="20"/>
              </w:rPr>
              <w:t>$182.3 M</w:t>
            </w:r>
          </w:p>
        </w:tc>
        <w:tc>
          <w:tcPr>
            <w:tcW w:type="dxa" w:w="1872"/>
          </w:tcPr>
          <w:p>
            <w:r/>
            <w:r>
              <w:rPr>
                <w:sz w:val="20"/>
              </w:rPr>
              <w:t>$195.5 M</w:t>
            </w:r>
          </w:p>
        </w:tc>
        <w:tc>
          <w:tcPr>
            <w:tcW w:type="dxa" w:w="1584"/>
          </w:tcPr>
          <w:p>
            <w:r/>
            <w:r>
              <w:rPr>
                <w:sz w:val="20"/>
              </w:rPr>
              <w:t>$235.0 M</w:t>
            </w:r>
          </w:p>
        </w:tc>
      </w:tr>
      <w:tr>
        <w:tc>
          <w:tcPr>
            <w:tcW w:type="dxa" w:w="2448"/>
            <w:shd w:fill="C6EFCE"/>
          </w:tcPr>
          <w:p>
            <w:r/>
            <w:r>
              <w:rPr>
                <w:b/>
                <w:sz w:val="20"/>
              </w:rPr>
              <w:t>Op margin</w:t>
            </w:r>
          </w:p>
        </w:tc>
        <w:tc>
          <w:tcPr>
            <w:tcW w:type="dxa" w:w="1584"/>
            <w:shd w:fill="C6EFCE"/>
          </w:tcPr>
          <w:p>
            <w:r/>
            <w:r>
              <w:rPr>
                <w:b/>
                <w:sz w:val="20"/>
              </w:rPr>
              <w:t>51.4%</w:t>
            </w:r>
          </w:p>
        </w:tc>
        <w:tc>
          <w:tcPr>
            <w:tcW w:type="dxa" w:w="1872"/>
            <w:shd w:fill="C6EFCE"/>
          </w:tcPr>
          <w:p>
            <w:r/>
            <w:r>
              <w:rPr>
                <w:b/>
                <w:sz w:val="20"/>
              </w:rPr>
              <w:t>50.1%</w:t>
            </w:r>
          </w:p>
        </w:tc>
        <w:tc>
          <w:tcPr>
            <w:tcW w:type="dxa" w:w="1872"/>
            <w:shd w:fill="C6EFCE"/>
          </w:tcPr>
          <w:p>
            <w:r/>
            <w:r>
              <w:rPr>
                <w:b/>
                <w:sz w:val="20"/>
              </w:rPr>
              <w:t>51.6%</w:t>
            </w:r>
          </w:p>
        </w:tc>
        <w:tc>
          <w:tcPr>
            <w:tcW w:type="dxa" w:w="1584"/>
            <w:shd w:fill="C6EFCE"/>
          </w:tcPr>
          <w:p>
            <w:r/>
            <w:r>
              <w:rPr>
                <w:b/>
                <w:sz w:val="20"/>
              </w:rPr>
              <w:t>54.9%</w:t>
            </w:r>
          </w:p>
        </w:tc>
      </w:tr>
    </w:tbl>
    <w:p>
      <w:pPr>
        <w:spacing w:after="120"/>
      </w:pPr>
      <w:r>
        <w:rPr>
          <w:b w:val="0"/>
          <w:i/>
          <w:sz w:val="22"/>
        </w:rPr>
        <w:t>All four scenarios produce positive first-year operating income. The floor ARPU for a 35% sustainable operating margin is $8.90/sub/mo at this cost structure — meaning the business can absorb considerable pricing pressure before the sovereign thesis breaks down.</w:t>
      </w:r>
    </w:p>
    <w:p>
      <w:r>
        <w:br/>
      </w:r>
    </w:p>
    <w:p>
      <w:pPr>
        <w:pStyle w:val="Heading1"/>
        <w:spacing w:before="320" w:after="160"/>
      </w:pPr>
      <w:r>
        <w:rPr>
          <w:rFonts w:ascii="Calibri" w:hAnsi="Calibri"/>
          <w:b/>
          <w:color w:val="1F3864"/>
          <w:sz w:val="40"/>
        </w:rPr>
        <w:t>Competitive Benchmark — Q1 2026</w:t>
      </w:r>
    </w:p>
    <w:p>
      <w:pPr>
        <w:spacing w:after="120"/>
      </w:pPr>
      <w:r>
        <w:rPr>
          <w:b w:val="0"/>
          <w:i w:val="0"/>
          <w:sz w:val="22"/>
        </w:rPr>
        <w:t>The pricing scenarios are calibrated against current US/EU streaming market anchors. Recommended pricing positions NetStreamX at or below market median on every non-sovereign tier, with the Premium Plus sovereignty tier sitting $10 above the Netflix Premium ceiling — which is the intended positioning.</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2520"/>
            <w:shd w:fill="1F3864"/>
            <w:vAlign w:val="center"/>
          </w:tcPr>
          <w:p>
            <w:r/>
            <w:r>
              <w:rPr>
                <w:b/>
                <w:color w:val="FFFFFF"/>
                <w:sz w:val="21"/>
              </w:rPr>
              <w:t>Service</w:t>
            </w:r>
          </w:p>
        </w:tc>
        <w:tc>
          <w:tcPr>
            <w:tcW w:type="dxa" w:w="1368"/>
            <w:shd w:fill="1F3864"/>
            <w:vAlign w:val="center"/>
          </w:tcPr>
          <w:p>
            <w:r/>
            <w:r>
              <w:rPr>
                <w:b/>
                <w:color w:val="FFFFFF"/>
                <w:sz w:val="21"/>
              </w:rPr>
              <w:t>Ad-tier</w:t>
            </w:r>
          </w:p>
        </w:tc>
        <w:tc>
          <w:tcPr>
            <w:tcW w:type="dxa" w:w="1368"/>
            <w:shd w:fill="1F3864"/>
            <w:vAlign w:val="center"/>
          </w:tcPr>
          <w:p>
            <w:r/>
            <w:r>
              <w:rPr>
                <w:b/>
                <w:color w:val="FFFFFF"/>
                <w:sz w:val="21"/>
              </w:rPr>
              <w:t>Basic</w:t>
            </w:r>
          </w:p>
        </w:tc>
        <w:tc>
          <w:tcPr>
            <w:tcW w:type="dxa" w:w="1440"/>
            <w:shd w:fill="1F3864"/>
            <w:vAlign w:val="center"/>
          </w:tcPr>
          <w:p>
            <w:r/>
            <w:r>
              <w:rPr>
                <w:b/>
                <w:color w:val="FFFFFF"/>
                <w:sz w:val="21"/>
              </w:rPr>
              <w:t>Standard</w:t>
            </w:r>
          </w:p>
        </w:tc>
        <w:tc>
          <w:tcPr>
            <w:tcW w:type="dxa" w:w="1368"/>
            <w:shd w:fill="1F3864"/>
            <w:vAlign w:val="center"/>
          </w:tcPr>
          <w:p>
            <w:r/>
            <w:r>
              <w:rPr>
                <w:b/>
                <w:color w:val="FFFFFF"/>
                <w:sz w:val="21"/>
              </w:rPr>
              <w:t>Premium</w:t>
            </w:r>
          </w:p>
        </w:tc>
      </w:tr>
      <w:tr>
        <w:tc>
          <w:tcPr>
            <w:tcW w:type="dxa" w:w="2520"/>
          </w:tcPr>
          <w:p>
            <w:r/>
            <w:r>
              <w:rPr>
                <w:sz w:val="20"/>
              </w:rPr>
              <w:t>Netflix</w:t>
            </w:r>
          </w:p>
        </w:tc>
        <w:tc>
          <w:tcPr>
            <w:tcW w:type="dxa" w:w="1368"/>
          </w:tcPr>
          <w:p>
            <w:r/>
            <w:r>
              <w:rPr>
                <w:sz w:val="20"/>
              </w:rPr>
              <w:t>$6.99</w:t>
            </w:r>
          </w:p>
        </w:tc>
        <w:tc>
          <w:tcPr>
            <w:tcW w:type="dxa" w:w="1368"/>
          </w:tcPr>
          <w:p>
            <w:r/>
            <w:r>
              <w:rPr>
                <w:sz w:val="20"/>
              </w:rPr>
              <w:t>—</w:t>
            </w:r>
          </w:p>
        </w:tc>
        <w:tc>
          <w:tcPr>
            <w:tcW w:type="dxa" w:w="1440"/>
          </w:tcPr>
          <w:p>
            <w:r/>
            <w:r>
              <w:rPr>
                <w:sz w:val="20"/>
              </w:rPr>
              <w:t>$17.99</w:t>
            </w:r>
          </w:p>
        </w:tc>
        <w:tc>
          <w:tcPr>
            <w:tcW w:type="dxa" w:w="1368"/>
          </w:tcPr>
          <w:p>
            <w:r/>
            <w:r>
              <w:rPr>
                <w:sz w:val="20"/>
              </w:rPr>
              <w:t>—</w:t>
            </w:r>
          </w:p>
        </w:tc>
      </w:tr>
      <w:tr>
        <w:tc>
          <w:tcPr>
            <w:tcW w:type="dxa" w:w="2520"/>
            <w:shd w:fill="F2F2F2"/>
          </w:tcPr>
          <w:p>
            <w:r/>
            <w:r>
              <w:rPr>
                <w:sz w:val="20"/>
              </w:rPr>
              <w:t>Disney+</w:t>
            </w:r>
          </w:p>
        </w:tc>
        <w:tc>
          <w:tcPr>
            <w:tcW w:type="dxa" w:w="1368"/>
            <w:shd w:fill="F2F2F2"/>
          </w:tcPr>
          <w:p>
            <w:r/>
            <w:r>
              <w:rPr>
                <w:sz w:val="20"/>
              </w:rPr>
              <w:t>$7.99</w:t>
            </w:r>
          </w:p>
        </w:tc>
        <w:tc>
          <w:tcPr>
            <w:tcW w:type="dxa" w:w="1368"/>
            <w:shd w:fill="F2F2F2"/>
          </w:tcPr>
          <w:p>
            <w:r/>
            <w:r>
              <w:rPr>
                <w:sz w:val="20"/>
              </w:rPr>
              <w:t>—</w:t>
            </w:r>
          </w:p>
        </w:tc>
        <w:tc>
          <w:tcPr>
            <w:tcW w:type="dxa" w:w="1440"/>
            <w:shd w:fill="F2F2F2"/>
          </w:tcPr>
          <w:p>
            <w:r/>
            <w:r>
              <w:rPr>
                <w:sz w:val="20"/>
              </w:rPr>
              <w:t>$13.99</w:t>
            </w:r>
          </w:p>
        </w:tc>
        <w:tc>
          <w:tcPr>
            <w:tcW w:type="dxa" w:w="1368"/>
            <w:shd w:fill="F2F2F2"/>
          </w:tcPr>
          <w:p>
            <w:r/>
            <w:r>
              <w:rPr>
                <w:sz w:val="20"/>
              </w:rPr>
              <w:t>—</w:t>
            </w:r>
          </w:p>
        </w:tc>
      </w:tr>
      <w:tr>
        <w:tc>
          <w:tcPr>
            <w:tcW w:type="dxa" w:w="2520"/>
          </w:tcPr>
          <w:p>
            <w:r/>
            <w:r>
              <w:rPr>
                <w:sz w:val="20"/>
              </w:rPr>
              <w:t>Max (HBO)</w:t>
            </w:r>
          </w:p>
        </w:tc>
        <w:tc>
          <w:tcPr>
            <w:tcW w:type="dxa" w:w="1368"/>
          </w:tcPr>
          <w:p>
            <w:r/>
            <w:r>
              <w:rPr>
                <w:sz w:val="20"/>
              </w:rPr>
              <w:t>$9.99</w:t>
            </w:r>
          </w:p>
        </w:tc>
        <w:tc>
          <w:tcPr>
            <w:tcW w:type="dxa" w:w="1368"/>
          </w:tcPr>
          <w:p>
            <w:r/>
            <w:r>
              <w:rPr>
                <w:sz w:val="20"/>
              </w:rPr>
              <w:t>—</w:t>
            </w:r>
          </w:p>
        </w:tc>
        <w:tc>
          <w:tcPr>
            <w:tcW w:type="dxa" w:w="1440"/>
          </w:tcPr>
          <w:p>
            <w:r/>
            <w:r>
              <w:rPr>
                <w:sz w:val="20"/>
              </w:rPr>
              <w:t>$16.99</w:t>
            </w:r>
          </w:p>
        </w:tc>
        <w:tc>
          <w:tcPr>
            <w:tcW w:type="dxa" w:w="1368"/>
          </w:tcPr>
          <w:p>
            <w:r/>
            <w:r>
              <w:rPr>
                <w:sz w:val="20"/>
              </w:rPr>
              <w:t>—</w:t>
            </w:r>
          </w:p>
        </w:tc>
      </w:tr>
      <w:tr>
        <w:tc>
          <w:tcPr>
            <w:tcW w:type="dxa" w:w="2520"/>
            <w:shd w:fill="F2F2F2"/>
          </w:tcPr>
          <w:p>
            <w:r/>
            <w:r>
              <w:rPr>
                <w:sz w:val="20"/>
              </w:rPr>
              <w:t>Paramount+</w:t>
            </w:r>
          </w:p>
        </w:tc>
        <w:tc>
          <w:tcPr>
            <w:tcW w:type="dxa" w:w="1368"/>
            <w:shd w:fill="F2F2F2"/>
          </w:tcPr>
          <w:p>
            <w:r/>
            <w:r>
              <w:rPr>
                <w:sz w:val="20"/>
              </w:rPr>
              <w:t>$7.99</w:t>
            </w:r>
          </w:p>
        </w:tc>
        <w:tc>
          <w:tcPr>
            <w:tcW w:type="dxa" w:w="1368"/>
            <w:shd w:fill="F2F2F2"/>
          </w:tcPr>
          <w:p>
            <w:r/>
            <w:r>
              <w:rPr>
                <w:sz w:val="20"/>
              </w:rPr>
              <w:t>—</w:t>
            </w:r>
          </w:p>
        </w:tc>
        <w:tc>
          <w:tcPr>
            <w:tcW w:type="dxa" w:w="1440"/>
            <w:shd w:fill="F2F2F2"/>
          </w:tcPr>
          <w:p>
            <w:r/>
            <w:r>
              <w:rPr>
                <w:sz w:val="20"/>
              </w:rPr>
              <w:t>$12.99</w:t>
            </w:r>
          </w:p>
        </w:tc>
        <w:tc>
          <w:tcPr>
            <w:tcW w:type="dxa" w:w="1368"/>
            <w:shd w:fill="F2F2F2"/>
          </w:tcPr>
          <w:p>
            <w:r/>
            <w:r>
              <w:rPr>
                <w:sz w:val="20"/>
              </w:rPr>
              <w:t>—</w:t>
            </w:r>
          </w:p>
        </w:tc>
      </w:tr>
      <w:tr>
        <w:tc>
          <w:tcPr>
            <w:tcW w:type="dxa" w:w="2520"/>
          </w:tcPr>
          <w:p>
            <w:r/>
            <w:r>
              <w:rPr>
                <w:sz w:val="20"/>
              </w:rPr>
              <w:t>Apple TV+</w:t>
            </w:r>
          </w:p>
        </w:tc>
        <w:tc>
          <w:tcPr>
            <w:tcW w:type="dxa" w:w="1368"/>
          </w:tcPr>
          <w:p>
            <w:r/>
            <w:r>
              <w:rPr>
                <w:sz w:val="20"/>
              </w:rPr>
              <w:t>—</w:t>
            </w:r>
          </w:p>
        </w:tc>
        <w:tc>
          <w:tcPr>
            <w:tcW w:type="dxa" w:w="1368"/>
          </w:tcPr>
          <w:p>
            <w:r/>
            <w:r>
              <w:rPr>
                <w:sz w:val="20"/>
              </w:rPr>
              <w:t>—</w:t>
            </w:r>
          </w:p>
        </w:tc>
        <w:tc>
          <w:tcPr>
            <w:tcW w:type="dxa" w:w="1440"/>
          </w:tcPr>
          <w:p>
            <w:r/>
            <w:r>
              <w:rPr>
                <w:sz w:val="20"/>
              </w:rPr>
              <w:t>—</w:t>
            </w:r>
          </w:p>
        </w:tc>
        <w:tc>
          <w:tcPr>
            <w:tcW w:type="dxa" w:w="1368"/>
          </w:tcPr>
          <w:p>
            <w:r/>
            <w:r>
              <w:rPr>
                <w:sz w:val="20"/>
              </w:rPr>
              <w:t>$9.99</w:t>
            </w:r>
          </w:p>
        </w:tc>
      </w:tr>
      <w:tr>
        <w:tc>
          <w:tcPr>
            <w:tcW w:type="dxa" w:w="2520"/>
            <w:shd w:fill="F2F2F2"/>
          </w:tcPr>
          <w:p>
            <w:r/>
            <w:r>
              <w:rPr>
                <w:sz w:val="20"/>
              </w:rPr>
              <w:t>Prime Video</w:t>
            </w:r>
          </w:p>
        </w:tc>
        <w:tc>
          <w:tcPr>
            <w:tcW w:type="dxa" w:w="1368"/>
            <w:shd w:fill="F2F2F2"/>
          </w:tcPr>
          <w:p>
            <w:r/>
            <w:r>
              <w:rPr>
                <w:sz w:val="20"/>
              </w:rPr>
              <w:t>$2.99</w:t>
            </w:r>
          </w:p>
        </w:tc>
        <w:tc>
          <w:tcPr>
            <w:tcW w:type="dxa" w:w="1368"/>
            <w:shd w:fill="F2F2F2"/>
          </w:tcPr>
          <w:p>
            <w:r/>
            <w:r>
              <w:rPr>
                <w:sz w:val="20"/>
              </w:rPr>
              <w:t>—</w:t>
            </w:r>
          </w:p>
        </w:tc>
        <w:tc>
          <w:tcPr>
            <w:tcW w:type="dxa" w:w="1440"/>
            <w:shd w:fill="F2F2F2"/>
          </w:tcPr>
          <w:p>
            <w:r/>
            <w:r>
              <w:rPr>
                <w:sz w:val="20"/>
              </w:rPr>
              <w:t>$8.99</w:t>
            </w:r>
          </w:p>
        </w:tc>
        <w:tc>
          <w:tcPr>
            <w:tcW w:type="dxa" w:w="1368"/>
            <w:shd w:fill="F2F2F2"/>
          </w:tcPr>
          <w:p>
            <w:r/>
            <w:r>
              <w:rPr>
                <w:sz w:val="20"/>
              </w:rPr>
              <w:t>—</w:t>
            </w:r>
          </w:p>
        </w:tc>
      </w:tr>
      <w:tr>
        <w:tc>
          <w:tcPr>
            <w:tcW w:type="dxa" w:w="2520"/>
          </w:tcPr>
          <w:p>
            <w:r/>
            <w:r>
              <w:rPr>
                <w:sz w:val="20"/>
              </w:rPr>
              <w:t>Hulu</w:t>
            </w:r>
          </w:p>
        </w:tc>
        <w:tc>
          <w:tcPr>
            <w:tcW w:type="dxa" w:w="1368"/>
          </w:tcPr>
          <w:p>
            <w:r/>
            <w:r>
              <w:rPr>
                <w:sz w:val="20"/>
              </w:rPr>
              <w:t>$7.99</w:t>
            </w:r>
          </w:p>
        </w:tc>
        <w:tc>
          <w:tcPr>
            <w:tcW w:type="dxa" w:w="1368"/>
          </w:tcPr>
          <w:p>
            <w:r/>
            <w:r>
              <w:rPr>
                <w:sz w:val="20"/>
              </w:rPr>
              <w:t>—</w:t>
            </w:r>
          </w:p>
        </w:tc>
        <w:tc>
          <w:tcPr>
            <w:tcW w:type="dxa" w:w="1440"/>
          </w:tcPr>
          <w:p>
            <w:r/>
            <w:r>
              <w:rPr>
                <w:sz w:val="20"/>
              </w:rPr>
              <w:t>$17.99</w:t>
            </w:r>
          </w:p>
        </w:tc>
        <w:tc>
          <w:tcPr>
            <w:tcW w:type="dxa" w:w="1368"/>
          </w:tcPr>
          <w:p>
            <w:r/>
            <w:r>
              <w:rPr>
                <w:sz w:val="20"/>
              </w:rPr>
              <w:t>—</w:t>
            </w:r>
          </w:p>
        </w:tc>
      </w:tr>
      <w:tr>
        <w:tc>
          <w:tcPr>
            <w:tcW w:type="dxa" w:w="2520"/>
            <w:shd w:fill="F2F2F2"/>
          </w:tcPr>
          <w:p>
            <w:r/>
            <w:r>
              <w:rPr>
                <w:sz w:val="20"/>
              </w:rPr>
              <w:t>Peacock</w:t>
            </w:r>
          </w:p>
        </w:tc>
        <w:tc>
          <w:tcPr>
            <w:tcW w:type="dxa" w:w="1368"/>
            <w:shd w:fill="F2F2F2"/>
          </w:tcPr>
          <w:p>
            <w:r/>
            <w:r>
              <w:rPr>
                <w:sz w:val="20"/>
              </w:rPr>
              <w:t>$7.99</w:t>
            </w:r>
          </w:p>
        </w:tc>
        <w:tc>
          <w:tcPr>
            <w:tcW w:type="dxa" w:w="1368"/>
            <w:shd w:fill="F2F2F2"/>
          </w:tcPr>
          <w:p>
            <w:r/>
            <w:r>
              <w:rPr>
                <w:sz w:val="20"/>
              </w:rPr>
              <w:t>—</w:t>
            </w:r>
          </w:p>
        </w:tc>
        <w:tc>
          <w:tcPr>
            <w:tcW w:type="dxa" w:w="1440"/>
            <w:shd w:fill="F2F2F2"/>
          </w:tcPr>
          <w:p>
            <w:r/>
            <w:r>
              <w:rPr>
                <w:sz w:val="20"/>
              </w:rPr>
              <w:t>$13.99</w:t>
            </w:r>
          </w:p>
        </w:tc>
        <w:tc>
          <w:tcPr>
            <w:tcW w:type="dxa" w:w="1368"/>
            <w:shd w:fill="F2F2F2"/>
          </w:tcPr>
          <w:p>
            <w:r/>
            <w:r>
              <w:rPr>
                <w:sz w:val="20"/>
              </w:rPr>
              <w:t>—</w:t>
            </w:r>
          </w:p>
        </w:tc>
      </w:tr>
      <w:tr>
        <w:tc>
          <w:tcPr>
            <w:tcW w:type="dxa" w:w="2520"/>
          </w:tcPr>
          <w:p>
            <w:r/>
            <w:r>
              <w:rPr>
                <w:sz w:val="20"/>
              </w:rPr>
              <w:t>Mubi</w:t>
            </w:r>
          </w:p>
        </w:tc>
        <w:tc>
          <w:tcPr>
            <w:tcW w:type="dxa" w:w="1368"/>
          </w:tcPr>
          <w:p>
            <w:r/>
            <w:r>
              <w:rPr>
                <w:sz w:val="20"/>
              </w:rPr>
              <w:t>—</w:t>
            </w:r>
          </w:p>
        </w:tc>
        <w:tc>
          <w:tcPr>
            <w:tcW w:type="dxa" w:w="1368"/>
          </w:tcPr>
          <w:p>
            <w:r/>
            <w:r>
              <w:rPr>
                <w:sz w:val="20"/>
              </w:rPr>
              <w:t>—</w:t>
            </w:r>
          </w:p>
        </w:tc>
        <w:tc>
          <w:tcPr>
            <w:tcW w:type="dxa" w:w="1440"/>
          </w:tcPr>
          <w:p>
            <w:r/>
            <w:r>
              <w:rPr>
                <w:sz w:val="20"/>
              </w:rPr>
              <w:t>$14.99</w:t>
            </w:r>
          </w:p>
        </w:tc>
        <w:tc>
          <w:tcPr>
            <w:tcW w:type="dxa" w:w="1368"/>
          </w:tcPr>
          <w:p>
            <w:r/>
            <w:r>
              <w:rPr>
                <w:sz w:val="20"/>
              </w:rPr>
              <w:t>—</w:t>
            </w:r>
          </w:p>
        </w:tc>
      </w:tr>
      <w:tr>
        <w:tc>
          <w:tcPr>
            <w:tcW w:type="dxa" w:w="2520"/>
            <w:shd w:fill="F2F2F2"/>
          </w:tcPr>
          <w:p>
            <w:r/>
            <w:r>
              <w:rPr>
                <w:sz w:val="20"/>
              </w:rPr>
              <w:t>YouTube Premium</w:t>
            </w:r>
          </w:p>
        </w:tc>
        <w:tc>
          <w:tcPr>
            <w:tcW w:type="dxa" w:w="1368"/>
            <w:shd w:fill="F2F2F2"/>
          </w:tcPr>
          <w:p>
            <w:r/>
            <w:r>
              <w:rPr>
                <w:sz w:val="20"/>
              </w:rPr>
              <w:t>—</w:t>
            </w:r>
          </w:p>
        </w:tc>
        <w:tc>
          <w:tcPr>
            <w:tcW w:type="dxa" w:w="1368"/>
            <w:shd w:fill="F2F2F2"/>
          </w:tcPr>
          <w:p>
            <w:r/>
            <w:r>
              <w:rPr>
                <w:sz w:val="20"/>
              </w:rPr>
              <w:t>$13.99</w:t>
            </w:r>
          </w:p>
        </w:tc>
        <w:tc>
          <w:tcPr>
            <w:tcW w:type="dxa" w:w="1440"/>
            <w:shd w:fill="F2F2F2"/>
          </w:tcPr>
          <w:p>
            <w:r/>
            <w:r>
              <w:rPr>
                <w:sz w:val="20"/>
              </w:rPr>
              <w:t>—</w:t>
            </w:r>
          </w:p>
        </w:tc>
        <w:tc>
          <w:tcPr>
            <w:tcW w:type="dxa" w:w="1368"/>
            <w:shd w:fill="F2F2F2"/>
          </w:tcPr>
          <w:p>
            <w:r/>
            <w:r>
              <w:rPr>
                <w:sz w:val="20"/>
              </w:rPr>
              <w:t>—</w:t>
            </w:r>
          </w:p>
        </w:tc>
      </w:tr>
      <w:tr>
        <w:tc>
          <w:tcPr>
            <w:tcW w:type="dxa" w:w="2520"/>
          </w:tcPr>
          <w:p>
            <w:r/>
            <w:r>
              <w:rPr>
                <w:sz w:val="20"/>
              </w:rPr>
              <w:t>MARKET MEDIAN</w:t>
            </w:r>
          </w:p>
        </w:tc>
        <w:tc>
          <w:tcPr>
            <w:tcW w:type="dxa" w:w="1368"/>
          </w:tcPr>
          <w:p>
            <w:r/>
            <w:r>
              <w:rPr>
                <w:sz w:val="20"/>
              </w:rPr>
              <w:t>$7.99</w:t>
            </w:r>
          </w:p>
        </w:tc>
        <w:tc>
          <w:tcPr>
            <w:tcW w:type="dxa" w:w="1368"/>
          </w:tcPr>
          <w:p>
            <w:r/>
            <w:r>
              <w:rPr>
                <w:sz w:val="20"/>
              </w:rPr>
              <w:t>$13.99</w:t>
            </w:r>
          </w:p>
        </w:tc>
        <w:tc>
          <w:tcPr>
            <w:tcW w:type="dxa" w:w="1440"/>
          </w:tcPr>
          <w:p>
            <w:r/>
            <w:r>
              <w:rPr>
                <w:sz w:val="20"/>
              </w:rPr>
              <w:t>$14.49</w:t>
            </w:r>
          </w:p>
        </w:tc>
        <w:tc>
          <w:tcPr>
            <w:tcW w:type="dxa" w:w="1368"/>
          </w:tcPr>
          <w:p>
            <w:r/>
            <w:r>
              <w:rPr>
                <w:sz w:val="20"/>
              </w:rPr>
              <w:t>$9.99</w:t>
            </w:r>
          </w:p>
        </w:tc>
      </w:tr>
      <w:tr>
        <w:tc>
          <w:tcPr>
            <w:tcW w:type="dxa" w:w="2520"/>
            <w:shd w:fill="C6EFCE"/>
          </w:tcPr>
          <w:p>
            <w:r/>
            <w:r>
              <w:rPr>
                <w:b/>
                <w:sz w:val="20"/>
              </w:rPr>
              <w:t>NETSTREAMX (Sc. C)</w:t>
            </w:r>
          </w:p>
        </w:tc>
        <w:tc>
          <w:tcPr>
            <w:tcW w:type="dxa" w:w="1368"/>
            <w:shd w:fill="C6EFCE"/>
          </w:tcPr>
          <w:p>
            <w:r/>
            <w:r>
              <w:rPr>
                <w:b/>
                <w:sz w:val="20"/>
              </w:rPr>
              <w:t>$5.99</w:t>
            </w:r>
          </w:p>
        </w:tc>
        <w:tc>
          <w:tcPr>
            <w:tcW w:type="dxa" w:w="1368"/>
            <w:shd w:fill="C6EFCE"/>
          </w:tcPr>
          <w:p>
            <w:r/>
            <w:r>
              <w:rPr>
                <w:b/>
                <w:sz w:val="20"/>
              </w:rPr>
              <w:t>$9.99</w:t>
            </w:r>
          </w:p>
        </w:tc>
        <w:tc>
          <w:tcPr>
            <w:tcW w:type="dxa" w:w="1440"/>
            <w:shd w:fill="C6EFCE"/>
          </w:tcPr>
          <w:p>
            <w:r/>
            <w:r>
              <w:rPr>
                <w:b/>
                <w:sz w:val="20"/>
              </w:rPr>
              <w:t>$14.99</w:t>
            </w:r>
          </w:p>
        </w:tc>
        <w:tc>
          <w:tcPr>
            <w:tcW w:type="dxa" w:w="1368"/>
            <w:shd w:fill="C6EFCE"/>
          </w:tcPr>
          <w:p>
            <w:r/>
            <w:r>
              <w:rPr>
                <w:b/>
                <w:sz w:val="20"/>
              </w:rPr>
              <w:t>$19.99</w:t>
            </w:r>
          </w:p>
        </w:tc>
      </w:tr>
    </w:tbl>
    <w:p>
      <w:pPr>
        <w:spacing w:after="120"/>
      </w:pPr>
      <w:r>
        <w:rPr>
          <w:b w:val="0"/>
          <w:i/>
          <w:sz w:val="22"/>
        </w:rPr>
        <w:t>The ad-tier at $5.99 undercuts market median by $2 intentionally — to aggregate viewing volume and ad inventory quickly; ad ARPU uplift ($8.50/sub/mo) is what makes this mathematics work. Premium UHD at $19.99 sits $2 above Netflix Premium but includes the sovereignty brand promise at no extra charge. Premium Plus at $27.99 is where the sovereignty premium is monetized.</w:t>
      </w:r>
    </w:p>
    <w:p>
      <w:r>
        <w:br/>
      </w:r>
    </w:p>
    <w:p>
      <w:pPr>
        <w:pStyle w:val="Heading1"/>
        <w:spacing w:before="320" w:after="160"/>
      </w:pPr>
      <w:r>
        <w:rPr>
          <w:rFonts w:ascii="Calibri" w:hAnsi="Calibri"/>
          <w:b/>
          <w:color w:val="1F3864"/>
          <w:sz w:val="40"/>
        </w:rPr>
        <w:t>Recommendations</w:t>
      </w:r>
    </w:p>
    <w:p>
      <w:pPr>
        <w:pStyle w:val="Heading2"/>
        <w:spacing w:before="280" w:after="80"/>
      </w:pPr>
      <w:r>
        <w:rPr>
          <w:b/>
          <w:color w:val="1F3864"/>
          <w:sz w:val="28"/>
        </w:rPr>
        <w:t>1. Adopt Scenario C with the Premium Plus $27.99 sovereignty anchor</w:t>
      </w:r>
    </w:p>
    <w:p>
      <w:pPr>
        <w:spacing w:after="120"/>
      </w:pPr>
      <w:r>
        <w:rPr>
          <w:b w:val="0"/>
          <w:i w:val="0"/>
          <w:sz w:val="22"/>
        </w:rPr>
        <w:t>At 1M subscribers on a fully sovereign substrate, the economics already work at market-parity pricing — but that leaves the entire sovereign investment on the table as an undifferentiated cost. The Recommended Scenario C preserves market-competitive pricing on the mass-market tiers (ad, basic, standard, premium UHD at Netflix ≤ 1% parity) and adds a NEW anchor tier — Premium Plus at $27.99 — that bundles UHD + downloads + an explicit sovereignty promise: 'Your watching never leaves the continent, never trains a foreign model, and is auditable on request.' The 5% adoption rate is deliberately conservative; every additional point of Premium-Plus penetration adds ~$3.36M/yr at zero marginal infrastructure cost.</w:t>
      </w:r>
    </w:p>
    <w:p>
      <w:pPr>
        <w:pStyle w:val="Heading2"/>
        <w:spacing w:before="280" w:after="80"/>
      </w:pPr>
      <w:r>
        <w:rPr>
          <w:b/>
          <w:color w:val="1F3864"/>
          <w:sz w:val="28"/>
        </w:rPr>
        <w:t>2. Treat sovereignty as a product feature, not back-office spend</w:t>
      </w:r>
    </w:p>
    <w:p>
      <w:pPr>
        <w:spacing w:after="120"/>
      </w:pPr>
      <w:r>
        <w:rPr>
          <w:b w:val="0"/>
          <w:i w:val="0"/>
          <w:sz w:val="22"/>
        </w:rPr>
        <w:t>Marketing the sovereignty investment is 80% of the return. For the EU regulated-industries household (finance, healthcare, legal, public sector), the sovereignty guarantee is a purchase reason, not a nice-to-have. Co-market with national data-protection authorities, publish the Flight Recorder transparency report annually (receipts-on-request without disclosing proprietary doctrine), and position the offering alongside other sovereign digital-services providers rather than against Netflix/Disney+.</w:t>
      </w:r>
    </w:p>
    <w:p>
      <w:pPr>
        <w:pStyle w:val="Heading2"/>
        <w:spacing w:before="280" w:after="80"/>
      </w:pPr>
      <w:r>
        <w:rPr>
          <w:b/>
          <w:color w:val="1F3864"/>
          <w:sz w:val="28"/>
        </w:rPr>
        <w:t>3. Use hybrid burst for live-event peaks — don't over-provision permanently</w:t>
      </w:r>
    </w:p>
    <w:p>
      <w:pPr>
        <w:spacing w:after="120"/>
      </w:pPr>
      <w:r>
        <w:rPr>
          <w:b w:val="0"/>
          <w:i w:val="0"/>
          <w:sz w:val="22"/>
        </w:rPr>
        <w:t>Live sports, championship matches, and major-release premieres can drive 3–5x normal concurrent load. On-prem capacity is fixed and takes 12–26 weeks to expand. The correct pattern is a tightly scoped hybrid burst to AKS/EKS for transient transcoding and load-balanced origin replicas, with a narrow data egress envelope (no PII, no Flight Recorder data, only ephemeral encode workers). Cost estimate: $200–400K per major event — versus $5–8M to over-provision on-prem permanently. This is a deliberate, doctrinally-approved exception under the Exception Economy, not an erosion of sovereignty.</w:t>
      </w:r>
    </w:p>
    <w:p>
      <w:pPr>
        <w:pStyle w:val="Heading2"/>
        <w:spacing w:before="280" w:after="80"/>
      </w:pPr>
      <w:r>
        <w:rPr>
          <w:b/>
          <w:color w:val="1F3864"/>
          <w:sz w:val="28"/>
        </w:rPr>
        <w:t>4. Phase the CapEx, not the architecture</w:t>
      </w:r>
    </w:p>
    <w:p>
      <w:pPr>
        <w:spacing w:after="120"/>
      </w:pPr>
      <w:r>
        <w:rPr>
          <w:b w:val="0"/>
          <w:i w:val="0"/>
          <w:sz w:val="22"/>
        </w:rPr>
        <w:t>The dual-DC active/active posture is an architectural requirement for sovereign ADAM. Phasing the build over 18 months (DC-A commissioned Month 1-6, DC-B Month 7-18) saves roughly 20% of carrying cost and aligns CapEx with first-subscriber revenue. Year 0 full-build is only the right choice if you are migrating at scale on day one (e.g., acquiring an existing operator's subscriber base).</w:t>
      </w:r>
    </w:p>
    <w:p>
      <w:pPr>
        <w:pStyle w:val="Heading2"/>
        <w:spacing w:before="280" w:after="80"/>
      </w:pPr>
      <w:r>
        <w:rPr>
          <w:b/>
          <w:color w:val="1F3864"/>
          <w:sz w:val="28"/>
        </w:rPr>
        <w:t>5. Invest in 16 FTEs before you invest in the first rack</w:t>
      </w:r>
    </w:p>
    <w:p>
      <w:pPr>
        <w:spacing w:after="120"/>
      </w:pPr>
      <w:r>
        <w:rPr>
          <w:b w:val="0"/>
          <w:i w:val="0"/>
          <w:sz w:val="22"/>
        </w:rPr>
        <w:t>The single biggest risk to sovereign on-prem is not hardware lead time — it is hiring 16 additional senior engineers (DC ops, network, hardware lifecycle, ML-ops, compliance). In the EU senior engineering market, 16 hires is a 6–9 month recruitment runway. If this cohort is not substantially in place BEFORE DC commissioning begins, the break-even case slips by 12–18 months and the platform spends Year 1 firefighting rather than stabilizing.</w:t>
      </w:r>
    </w:p>
    <w:p>
      <w:pPr>
        <w:pStyle w:val="Heading2"/>
        <w:spacing w:before="280" w:after="80"/>
      </w:pPr>
      <w:r>
        <w:rPr>
          <w:b/>
          <w:color w:val="1F3864"/>
          <w:sz w:val="28"/>
        </w:rPr>
        <w:t>6. Monitor break-even continuously — it is a leading indicator, not a target</w:t>
      </w:r>
    </w:p>
    <w:p>
      <w:pPr>
        <w:spacing w:after="120"/>
      </w:pPr>
      <w:r>
        <w:rPr>
          <w:b w:val="0"/>
          <w:i w:val="0"/>
          <w:sz w:val="22"/>
        </w:rPr>
        <w:t>The workbook computes 2.4-year break-even against the multi-cloud reference. This assumes on-prem OpEx remains within $8.5M/yr of the multi-cloud run-rate and CapEx is fully amortized. If either assumption breaks — FTE costs grow 5%/yr, power costs spike, or multi-cloud list prices drop 10%+ — break-even slips by 6 months. Re-run the Assumptions sheet quarterly. If break-even slips past Year 4, re-evaluate the hybrid posture rather than doubling down.</w:t>
      </w:r>
    </w:p>
    <w:p>
      <w:pPr>
        <w:pStyle w:val="Heading2"/>
        <w:spacing w:before="280" w:after="80"/>
      </w:pPr>
      <w:r>
        <w:rPr>
          <w:b/>
          <w:color w:val="1F3864"/>
          <w:sz w:val="28"/>
        </w:rPr>
        <w:t>7. Decision rule</w:t>
      </w:r>
    </w:p>
    <w:p>
      <w:pPr>
        <w:spacing w:after="120"/>
      </w:pPr>
      <w:r>
        <w:rPr>
          <w:b/>
          <w:i w:val="0"/>
          <w:sz w:val="22"/>
        </w:rPr>
        <w:t>Pursue sovereign on-prem if AND ONLY IF all of the following are true:</w:t>
      </w:r>
    </w:p>
    <w:p>
      <w:pPr>
        <w:pStyle w:val="ListNumber"/>
        <w:spacing w:after="40"/>
      </w:pPr>
      <w:r>
        <w:rPr>
          <w:sz w:val="22"/>
        </w:rPr>
        <w:t>You serve &gt;800,000 subscribers in regulated EU markets (or a regulator-bound equivalent jurisdiction).</w:t>
      </w:r>
    </w:p>
    <w:p>
      <w:pPr>
        <w:pStyle w:val="ListNumber"/>
        <w:spacing w:after="40"/>
      </w:pPr>
      <w:r>
        <w:rPr>
          <w:sz w:val="22"/>
        </w:rPr>
        <w:t>You can fund $40M of CapEx without dilution (operating cash flow or facilities debt).</w:t>
      </w:r>
    </w:p>
    <w:p>
      <w:pPr>
        <w:pStyle w:val="ListNumber"/>
        <w:spacing w:after="40"/>
      </w:pPr>
      <w:r>
        <w:rPr>
          <w:sz w:val="22"/>
        </w:rPr>
        <w:t>You can hire 16 additional senior engineers sustainably (not in a one-time sprint).</w:t>
      </w:r>
    </w:p>
    <w:p>
      <w:pPr>
        <w:pStyle w:val="ListNumber"/>
        <w:spacing w:after="40"/>
      </w:pPr>
      <w:r>
        <w:rPr>
          <w:sz w:val="22"/>
        </w:rPr>
        <w:t>You expect a &gt;5-year operating horizon at this scale (no near-term M&amp;A exit).</w:t>
      </w:r>
    </w:p>
    <w:p>
      <w:pPr>
        <w:pStyle w:val="ListNumber"/>
        <w:spacing w:after="40"/>
      </w:pPr>
      <w:r>
        <w:rPr>
          <w:sz w:val="22"/>
        </w:rPr>
        <w:t>Your regulator, board, or primary customer values sovereignty as a product feature — not as an unfunded mandate.</w:t>
      </w:r>
    </w:p>
    <w:p>
      <w:pPr>
        <w:spacing w:after="120"/>
      </w:pPr>
      <w:r>
        <w:rPr>
          <w:b w:val="0"/>
          <w:i/>
          <w:sz w:val="22"/>
        </w:rPr>
        <w:t>If any of these is false, the multi-cloud reference (Azure-primary + AWS-standby) is the correct posture. If all five are true, the sovereign build is not just permissible — it is structurally the lowest-cost 5-year outcome with materially better regulatory positioning.</w:t>
      </w:r>
    </w:p>
    <w:p>
      <w:r>
        <w:br/>
      </w:r>
    </w:p>
    <w:p>
      <w:pPr>
        <w:pStyle w:val="Heading1"/>
        <w:spacing w:before="320" w:after="160"/>
      </w:pPr>
      <w:r>
        <w:rPr>
          <w:rFonts w:ascii="Calibri" w:hAnsi="Calibri"/>
          <w:b/>
          <w:color w:val="1F3864"/>
          <w:sz w:val="40"/>
        </w:rPr>
        <w:t>Appendices</w:t>
      </w:r>
    </w:p>
    <w:p>
      <w:pPr>
        <w:pStyle w:val="Heading2"/>
        <w:spacing w:before="280" w:after="80"/>
      </w:pPr>
      <w:r>
        <w:rPr>
          <w:b/>
          <w:color w:val="1F3864"/>
          <w:sz w:val="28"/>
        </w:rPr>
        <w:t>A. Workbook map</w:t>
      </w:r>
    </w:p>
    <w:tbl>
      <w:tblPr>
        <w:tblW w:type="auto" w:w="0"/>
        <w:jc w:val="center"/>
        <w:tblLayout w:type="fixed"/>
        <w:tblLook w:firstColumn="1" w:firstRow="1" w:lastColumn="0" w:lastRow="0" w:noHBand="0" w:noVBand="1" w:val="04A0"/>
      </w:tblPr>
      <w:tblGrid>
        <w:gridCol w:w="4680"/>
        <w:gridCol w:w="4680"/>
      </w:tblGrid>
      <w:tr>
        <w:tc>
          <w:tcPr>
            <w:tcW w:type="dxa" w:w="2880"/>
            <w:shd w:fill="1F3864"/>
            <w:vAlign w:val="center"/>
          </w:tcPr>
          <w:p>
            <w:r/>
            <w:r>
              <w:rPr>
                <w:b/>
                <w:color w:val="FFFFFF"/>
                <w:sz w:val="21"/>
              </w:rPr>
              <w:t>Sheet</w:t>
            </w:r>
          </w:p>
        </w:tc>
        <w:tc>
          <w:tcPr>
            <w:tcW w:type="dxa" w:w="6624"/>
            <w:shd w:fill="1F3864"/>
            <w:vAlign w:val="center"/>
          </w:tcPr>
          <w:p>
            <w:r/>
            <w:r>
              <w:rPr>
                <w:b/>
                <w:color w:val="FFFFFF"/>
                <w:sz w:val="21"/>
              </w:rPr>
              <w:t>Purpose</w:t>
            </w:r>
          </w:p>
        </w:tc>
      </w:tr>
      <w:tr>
        <w:tc>
          <w:tcPr>
            <w:tcW w:type="dxa" w:w="2880"/>
          </w:tcPr>
          <w:p>
            <w:r/>
            <w:r>
              <w:rPr>
                <w:sz w:val="20"/>
              </w:rPr>
              <w:t>README</w:t>
            </w:r>
          </w:p>
        </w:tc>
        <w:tc>
          <w:tcPr>
            <w:tcW w:type="dxa" w:w="6624"/>
          </w:tcPr>
          <w:p>
            <w:r/>
            <w:r>
              <w:rPr>
                <w:sz w:val="20"/>
              </w:rPr>
              <w:t>Scenario, architecture summary, source-doc references</w:t>
            </w:r>
          </w:p>
        </w:tc>
      </w:tr>
      <w:tr>
        <w:tc>
          <w:tcPr>
            <w:tcW w:type="dxa" w:w="2880"/>
            <w:shd w:fill="F2F2F2"/>
          </w:tcPr>
          <w:p>
            <w:r/>
            <w:r>
              <w:rPr>
                <w:sz w:val="20"/>
              </w:rPr>
              <w:t>Assumptions</w:t>
            </w:r>
          </w:p>
        </w:tc>
        <w:tc>
          <w:tcPr>
            <w:tcW w:type="dxa" w:w="6624"/>
            <w:shd w:fill="F2F2F2"/>
          </w:tcPr>
          <w:p>
            <w:r/>
            <w:r>
              <w:rPr>
                <w:sz w:val="20"/>
              </w:rPr>
              <w:t>All 90 editable inputs (BLUE = edit here); single source of truth</w:t>
            </w:r>
          </w:p>
        </w:tc>
      </w:tr>
      <w:tr>
        <w:tc>
          <w:tcPr>
            <w:tcW w:type="dxa" w:w="2880"/>
          </w:tcPr>
          <w:p>
            <w:r/>
            <w:r>
              <w:rPr>
                <w:sz w:val="20"/>
              </w:rPr>
              <w:t>Workload Sizing</w:t>
            </w:r>
          </w:p>
        </w:tc>
        <w:tc>
          <w:tcPr>
            <w:tcW w:type="dxa" w:w="6624"/>
          </w:tcPr>
          <w:p>
            <w:r/>
            <w:r>
              <w:rPr>
                <w:sz w:val="20"/>
              </w:rPr>
              <w:t>DAU, concurrent peak, egress PB, storage PB derived from Assumptions</w:t>
            </w:r>
          </w:p>
        </w:tc>
      </w:tr>
      <w:tr>
        <w:tc>
          <w:tcPr>
            <w:tcW w:type="dxa" w:w="2880"/>
            <w:shd w:fill="F2F2F2"/>
          </w:tcPr>
          <w:p>
            <w:r/>
            <w:r>
              <w:rPr>
                <w:sz w:val="20"/>
              </w:rPr>
              <w:t>Hardware CapEx</w:t>
            </w:r>
          </w:p>
        </w:tc>
        <w:tc>
          <w:tcPr>
            <w:tcW w:type="dxa" w:w="6624"/>
            <w:shd w:fill="F2F2F2"/>
          </w:tcPr>
          <w:p>
            <w:r/>
            <w:r>
              <w:rPr>
                <w:sz w:val="20"/>
              </w:rPr>
              <w:t>Bottom-up Year-0 build: compute, GPU, storage, network, HSM, DC fit-out, software, PS, contingency</w:t>
            </w:r>
          </w:p>
        </w:tc>
      </w:tr>
      <w:tr>
        <w:tc>
          <w:tcPr>
            <w:tcW w:type="dxa" w:w="2880"/>
          </w:tcPr>
          <w:p>
            <w:r/>
            <w:r>
              <w:rPr>
                <w:sz w:val="20"/>
              </w:rPr>
              <w:t>On-Prem OpEx</w:t>
            </w:r>
          </w:p>
        </w:tc>
        <w:tc>
          <w:tcPr>
            <w:tcW w:type="dxa" w:w="6624"/>
          </w:tcPr>
          <w:p>
            <w:r/>
            <w:r>
              <w:rPr>
                <w:sz w:val="20"/>
              </w:rPr>
              <w:t>Power, space, fiber, maintenance, software subs, 39 FTE staff</w:t>
            </w:r>
          </w:p>
        </w:tc>
      </w:tr>
      <w:tr>
        <w:tc>
          <w:tcPr>
            <w:tcW w:type="dxa" w:w="2880"/>
            <w:shd w:fill="F2F2F2"/>
          </w:tcPr>
          <w:p>
            <w:r/>
            <w:r>
              <w:rPr>
                <w:sz w:val="20"/>
              </w:rPr>
              <w:t>CDN &amp; Net Services</w:t>
            </w:r>
          </w:p>
        </w:tc>
        <w:tc>
          <w:tcPr>
            <w:tcW w:type="dxa" w:w="6624"/>
            <w:shd w:fill="F2F2F2"/>
          </w:tcPr>
          <w:p>
            <w:r/>
            <w:r>
              <w:rPr>
                <w:sz w:val="20"/>
              </w:rPr>
              <w:t>External CDN, DDoS, DRM, DNS overflow, threat intel — the sovereign-permitted remnant</w:t>
            </w:r>
          </w:p>
        </w:tc>
      </w:tr>
      <w:tr>
        <w:tc>
          <w:tcPr>
            <w:tcW w:type="dxa" w:w="2880"/>
          </w:tcPr>
          <w:p>
            <w:r/>
            <w:r>
              <w:rPr>
                <w:sz w:val="20"/>
              </w:rPr>
              <w:t>ADAM Governance OpEx</w:t>
            </w:r>
          </w:p>
        </w:tc>
        <w:tc>
          <w:tcPr>
            <w:tcW w:type="dxa" w:w="6624"/>
          </w:tcPr>
          <w:p>
            <w:r/>
            <w:r>
              <w:rPr>
                <w:sz w:val="20"/>
              </w:rPr>
              <w:t>Directors, attestations, insurance, doctrine, Exception Economy ops</w:t>
            </w:r>
          </w:p>
        </w:tc>
      </w:tr>
      <w:tr>
        <w:tc>
          <w:tcPr>
            <w:tcW w:type="dxa" w:w="2880"/>
            <w:shd w:fill="F2F2F2"/>
          </w:tcPr>
          <w:p>
            <w:r/>
            <w:r>
              <w:rPr>
                <w:sz w:val="20"/>
              </w:rPr>
              <w:t>Consolidated TCO</w:t>
            </w:r>
          </w:p>
        </w:tc>
        <w:tc>
          <w:tcPr>
            <w:tcW w:type="dxa" w:w="6624"/>
            <w:shd w:fill="F2F2F2"/>
          </w:tcPr>
          <w:p>
            <w:r/>
            <w:r>
              <w:rPr>
                <w:sz w:val="20"/>
              </w:rPr>
              <w:t>Cash view vs Run-rate view with CapEx amortization</w:t>
            </w:r>
          </w:p>
        </w:tc>
      </w:tr>
      <w:tr>
        <w:tc>
          <w:tcPr>
            <w:tcW w:type="dxa" w:w="2880"/>
          </w:tcPr>
          <w:p>
            <w:r/>
            <w:r>
              <w:rPr>
                <w:sz w:val="20"/>
              </w:rPr>
              <w:t>Revenue Model</w:t>
            </w:r>
          </w:p>
        </w:tc>
        <w:tc>
          <w:tcPr>
            <w:tcW w:type="dxa" w:w="6624"/>
          </w:tcPr>
          <w:p>
            <w:r/>
            <w:r>
              <w:rPr>
                <w:sz w:val="20"/>
              </w:rPr>
              <w:t>5-tier mix × ARPU × subs with ad-revenue uplift</w:t>
            </w:r>
          </w:p>
        </w:tc>
      </w:tr>
      <w:tr>
        <w:tc>
          <w:tcPr>
            <w:tcW w:type="dxa" w:w="2880"/>
            <w:shd w:fill="F2F2F2"/>
          </w:tcPr>
          <w:p>
            <w:r/>
            <w:r>
              <w:rPr>
                <w:sz w:val="20"/>
              </w:rPr>
              <w:t>5-Year P&amp;L</w:t>
            </w:r>
          </w:p>
        </w:tc>
        <w:tc>
          <w:tcPr>
            <w:tcW w:type="dxa" w:w="6624"/>
            <w:shd w:fill="F2F2F2"/>
          </w:tcPr>
          <w:p>
            <w:r/>
            <w:r>
              <w:rPr>
                <w:sz w:val="20"/>
              </w:rPr>
              <w:t>Full 5-year revenue, cost, margin, per-sub view with subscriber growth</w:t>
            </w:r>
          </w:p>
        </w:tc>
      </w:tr>
      <w:tr>
        <w:tc>
          <w:tcPr>
            <w:tcW w:type="dxa" w:w="2880"/>
          </w:tcPr>
          <w:p>
            <w:r/>
            <w:r>
              <w:rPr>
                <w:sz w:val="20"/>
              </w:rPr>
              <w:t>Pricing Scenarios</w:t>
            </w:r>
          </w:p>
        </w:tc>
        <w:tc>
          <w:tcPr>
            <w:tcW w:type="dxa" w:w="6624"/>
          </w:tcPr>
          <w:p>
            <w:r/>
            <w:r>
              <w:rPr>
                <w:sz w:val="20"/>
              </w:rPr>
              <w:t>4 scenarios (Market / Conservative / Recommended / Premium) against constant cost base</w:t>
            </w:r>
          </w:p>
        </w:tc>
      </w:tr>
      <w:tr>
        <w:tc>
          <w:tcPr>
            <w:tcW w:type="dxa" w:w="2880"/>
            <w:shd w:fill="F2F2F2"/>
          </w:tcPr>
          <w:p>
            <w:r/>
            <w:r>
              <w:rPr>
                <w:sz w:val="20"/>
              </w:rPr>
              <w:t>Competitive Bench</w:t>
            </w:r>
          </w:p>
        </w:tc>
        <w:tc>
          <w:tcPr>
            <w:tcW w:type="dxa" w:w="6624"/>
            <w:shd w:fill="F2F2F2"/>
          </w:tcPr>
          <w:p>
            <w:r/>
            <w:r>
              <w:rPr>
                <w:sz w:val="20"/>
              </w:rPr>
              <w:t>Q1 2026 US/EU streaming market anchors</w:t>
            </w:r>
          </w:p>
        </w:tc>
      </w:tr>
      <w:tr>
        <w:tc>
          <w:tcPr>
            <w:tcW w:type="dxa" w:w="2880"/>
          </w:tcPr>
          <w:p>
            <w:r/>
            <w:r>
              <w:rPr>
                <w:sz w:val="20"/>
              </w:rPr>
              <w:t>OnPrem vs MultiCloud</w:t>
            </w:r>
          </w:p>
        </w:tc>
        <w:tc>
          <w:tcPr>
            <w:tcW w:type="dxa" w:w="6624"/>
          </w:tcPr>
          <w:p>
            <w:r/>
            <w:r>
              <w:rPr>
                <w:sz w:val="20"/>
              </w:rPr>
              <w:t>Side-by-side with break-even computation against v1 multi-cloud model</w:t>
            </w:r>
          </w:p>
        </w:tc>
      </w:tr>
      <w:tr>
        <w:tc>
          <w:tcPr>
            <w:tcW w:type="dxa" w:w="2880"/>
            <w:shd w:fill="F2F2F2"/>
          </w:tcPr>
          <w:p>
            <w:r/>
            <w:r>
              <w:rPr>
                <w:sz w:val="20"/>
              </w:rPr>
              <w:t>Recommendations</w:t>
            </w:r>
          </w:p>
        </w:tc>
        <w:tc>
          <w:tcPr>
            <w:tcW w:type="dxa" w:w="6624"/>
            <w:shd w:fill="F2F2F2"/>
          </w:tcPr>
          <w:p>
            <w:r/>
            <w:r>
              <w:rPr>
                <w:sz w:val="20"/>
              </w:rPr>
              <w:t>Textual recommendations (this doc expands these)</w:t>
            </w:r>
          </w:p>
        </w:tc>
      </w:tr>
    </w:tbl>
    <w:p/>
    <w:p>
      <w:pPr>
        <w:pStyle w:val="Heading2"/>
        <w:spacing w:before="280" w:after="80"/>
      </w:pPr>
      <w:r>
        <w:rPr>
          <w:b/>
          <w:color w:val="1F3864"/>
          <w:sz w:val="28"/>
        </w:rPr>
        <w:t>B. Return-on-investment summary</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1008"/>
            <w:shd w:fill="1F3864"/>
            <w:vAlign w:val="center"/>
          </w:tcPr>
          <w:p>
            <w:r/>
            <w:r>
              <w:rPr>
                <w:b/>
                <w:color w:val="FFFFFF"/>
                <w:sz w:val="21"/>
              </w:rPr>
              <w:t>Year</w:t>
            </w:r>
          </w:p>
        </w:tc>
        <w:tc>
          <w:tcPr>
            <w:tcW w:type="dxa" w:w="1224"/>
            <w:shd w:fill="1F3864"/>
            <w:vAlign w:val="center"/>
          </w:tcPr>
          <w:p>
            <w:r/>
            <w:r>
              <w:rPr>
                <w:b/>
                <w:color w:val="FFFFFF"/>
                <w:sz w:val="21"/>
              </w:rPr>
              <w:t>Subs (M)</w:t>
            </w:r>
          </w:p>
        </w:tc>
        <w:tc>
          <w:tcPr>
            <w:tcW w:type="dxa" w:w="1512"/>
            <w:shd w:fill="1F3864"/>
            <w:vAlign w:val="center"/>
          </w:tcPr>
          <w:p>
            <w:r/>
            <w:r>
              <w:rPr>
                <w:b/>
                <w:color w:val="FFFFFF"/>
                <w:sz w:val="21"/>
              </w:rPr>
              <w:t>Revenue ($M)</w:t>
            </w:r>
          </w:p>
        </w:tc>
        <w:tc>
          <w:tcPr>
            <w:tcW w:type="dxa" w:w="1944"/>
            <w:shd w:fill="1F3864"/>
            <w:vAlign w:val="center"/>
          </w:tcPr>
          <w:p>
            <w:r/>
            <w:r>
              <w:rPr>
                <w:b/>
                <w:color w:val="FFFFFF"/>
                <w:sz w:val="21"/>
              </w:rPr>
              <w:t>Run-rate cost ($M)</w:t>
            </w:r>
          </w:p>
        </w:tc>
        <w:tc>
          <w:tcPr>
            <w:tcW w:type="dxa" w:w="1728"/>
            <w:shd w:fill="1F3864"/>
            <w:vAlign w:val="center"/>
          </w:tcPr>
          <w:p>
            <w:r/>
            <w:r>
              <w:rPr>
                <w:b/>
                <w:color w:val="FFFFFF"/>
                <w:sz w:val="21"/>
              </w:rPr>
              <w:t>Op income ($M)</w:t>
            </w:r>
          </w:p>
        </w:tc>
        <w:tc>
          <w:tcPr>
            <w:tcW w:type="dxa" w:w="2016"/>
            <w:shd w:fill="1F3864"/>
            <w:vAlign w:val="center"/>
          </w:tcPr>
          <w:p>
            <w:r/>
            <w:r>
              <w:rPr>
                <w:b/>
                <w:color w:val="FFFFFF"/>
                <w:sz w:val="21"/>
              </w:rPr>
              <w:t>Cum. op income ($M)</w:t>
            </w:r>
          </w:p>
        </w:tc>
      </w:tr>
      <w:tr>
        <w:tc>
          <w:tcPr>
            <w:tcW w:type="dxa" w:w="1008"/>
          </w:tcPr>
          <w:p>
            <w:r/>
            <w:r>
              <w:rPr>
                <w:sz w:val="20"/>
              </w:rPr>
              <w:t>1</w:t>
            </w:r>
          </w:p>
        </w:tc>
        <w:tc>
          <w:tcPr>
            <w:tcW w:type="dxa" w:w="1224"/>
          </w:tcPr>
          <w:p>
            <w:r/>
            <w:r>
              <w:rPr>
                <w:sz w:val="20"/>
              </w:rPr>
              <w:t>1.00</w:t>
            </w:r>
          </w:p>
        </w:tc>
        <w:tc>
          <w:tcPr>
            <w:tcW w:type="dxa" w:w="1512"/>
          </w:tcPr>
          <w:p>
            <w:r/>
            <w:r>
              <w:rPr>
                <w:sz w:val="20"/>
              </w:rPr>
              <w:t>$195</w:t>
            </w:r>
          </w:p>
        </w:tc>
        <w:tc>
          <w:tcPr>
            <w:tcW w:type="dxa" w:w="1944"/>
          </w:tcPr>
          <w:p>
            <w:r/>
            <w:r>
              <w:rPr>
                <w:sz w:val="20"/>
              </w:rPr>
              <w:t>$95</w:t>
            </w:r>
          </w:p>
        </w:tc>
        <w:tc>
          <w:tcPr>
            <w:tcW w:type="dxa" w:w="1728"/>
          </w:tcPr>
          <w:p>
            <w:r/>
            <w:r>
              <w:rPr>
                <w:sz w:val="20"/>
              </w:rPr>
              <w:t>$101</w:t>
            </w:r>
          </w:p>
        </w:tc>
        <w:tc>
          <w:tcPr>
            <w:tcW w:type="dxa" w:w="2016"/>
          </w:tcPr>
          <w:p>
            <w:r/>
            <w:r>
              <w:rPr>
                <w:sz w:val="20"/>
              </w:rPr>
              <w:t>$101</w:t>
            </w:r>
          </w:p>
        </w:tc>
      </w:tr>
      <w:tr>
        <w:tc>
          <w:tcPr>
            <w:tcW w:type="dxa" w:w="1008"/>
            <w:shd w:fill="F2F2F2"/>
          </w:tcPr>
          <w:p>
            <w:r/>
            <w:r>
              <w:rPr>
                <w:sz w:val="20"/>
              </w:rPr>
              <w:t>2</w:t>
            </w:r>
          </w:p>
        </w:tc>
        <w:tc>
          <w:tcPr>
            <w:tcW w:type="dxa" w:w="1224"/>
            <w:shd w:fill="F2F2F2"/>
          </w:tcPr>
          <w:p>
            <w:r/>
            <w:r>
              <w:rPr>
                <w:sz w:val="20"/>
              </w:rPr>
              <w:t>1.12</w:t>
            </w:r>
          </w:p>
        </w:tc>
        <w:tc>
          <w:tcPr>
            <w:tcW w:type="dxa" w:w="1512"/>
            <w:shd w:fill="F2F2F2"/>
          </w:tcPr>
          <w:p>
            <w:r/>
            <w:r>
              <w:rPr>
                <w:sz w:val="20"/>
              </w:rPr>
              <w:t>$219</w:t>
            </w:r>
          </w:p>
        </w:tc>
        <w:tc>
          <w:tcPr>
            <w:tcW w:type="dxa" w:w="1944"/>
            <w:shd w:fill="F2F2F2"/>
          </w:tcPr>
          <w:p>
            <w:r/>
            <w:r>
              <w:rPr>
                <w:sz w:val="20"/>
              </w:rPr>
              <w:t>$140</w:t>
            </w:r>
          </w:p>
        </w:tc>
        <w:tc>
          <w:tcPr>
            <w:tcW w:type="dxa" w:w="1728"/>
            <w:shd w:fill="F2F2F2"/>
          </w:tcPr>
          <w:p>
            <w:r/>
            <w:r>
              <w:rPr>
                <w:sz w:val="20"/>
              </w:rPr>
              <w:t>$79</w:t>
            </w:r>
          </w:p>
        </w:tc>
        <w:tc>
          <w:tcPr>
            <w:tcW w:type="dxa" w:w="2016"/>
            <w:shd w:fill="F2F2F2"/>
          </w:tcPr>
          <w:p>
            <w:r/>
            <w:r>
              <w:rPr>
                <w:sz w:val="20"/>
              </w:rPr>
              <w:t>$180</w:t>
            </w:r>
          </w:p>
        </w:tc>
      </w:tr>
      <w:tr>
        <w:tc>
          <w:tcPr>
            <w:tcW w:type="dxa" w:w="1008"/>
          </w:tcPr>
          <w:p>
            <w:r/>
            <w:r>
              <w:rPr>
                <w:sz w:val="20"/>
              </w:rPr>
              <w:t>3</w:t>
            </w:r>
          </w:p>
        </w:tc>
        <w:tc>
          <w:tcPr>
            <w:tcW w:type="dxa" w:w="1224"/>
          </w:tcPr>
          <w:p>
            <w:r/>
            <w:r>
              <w:rPr>
                <w:sz w:val="20"/>
              </w:rPr>
              <w:t>1.25</w:t>
            </w:r>
          </w:p>
        </w:tc>
        <w:tc>
          <w:tcPr>
            <w:tcW w:type="dxa" w:w="1512"/>
          </w:tcPr>
          <w:p>
            <w:r/>
            <w:r>
              <w:rPr>
                <w:sz w:val="20"/>
              </w:rPr>
              <w:t>$245</w:t>
            </w:r>
          </w:p>
        </w:tc>
        <w:tc>
          <w:tcPr>
            <w:tcW w:type="dxa" w:w="1944"/>
          </w:tcPr>
          <w:p>
            <w:r/>
            <w:r>
              <w:rPr>
                <w:sz w:val="20"/>
              </w:rPr>
              <w:t>$182</w:t>
            </w:r>
          </w:p>
        </w:tc>
        <w:tc>
          <w:tcPr>
            <w:tcW w:type="dxa" w:w="1728"/>
          </w:tcPr>
          <w:p>
            <w:r/>
            <w:r>
              <w:rPr>
                <w:sz w:val="20"/>
              </w:rPr>
              <w:t>$63</w:t>
            </w:r>
          </w:p>
        </w:tc>
        <w:tc>
          <w:tcPr>
            <w:tcW w:type="dxa" w:w="2016"/>
          </w:tcPr>
          <w:p>
            <w:r/>
            <w:r>
              <w:rPr>
                <w:sz w:val="20"/>
              </w:rPr>
              <w:t>$243</w:t>
            </w:r>
          </w:p>
        </w:tc>
      </w:tr>
      <w:tr>
        <w:tc>
          <w:tcPr>
            <w:tcW w:type="dxa" w:w="1008"/>
            <w:shd w:fill="F2F2F2"/>
          </w:tcPr>
          <w:p>
            <w:r/>
            <w:r>
              <w:rPr>
                <w:sz w:val="20"/>
              </w:rPr>
              <w:t>4</w:t>
            </w:r>
          </w:p>
        </w:tc>
        <w:tc>
          <w:tcPr>
            <w:tcW w:type="dxa" w:w="1224"/>
            <w:shd w:fill="F2F2F2"/>
          </w:tcPr>
          <w:p>
            <w:r/>
            <w:r>
              <w:rPr>
                <w:sz w:val="20"/>
              </w:rPr>
              <w:t>1.40</w:t>
            </w:r>
          </w:p>
        </w:tc>
        <w:tc>
          <w:tcPr>
            <w:tcW w:type="dxa" w:w="1512"/>
            <w:shd w:fill="F2F2F2"/>
          </w:tcPr>
          <w:p>
            <w:r/>
            <w:r>
              <w:rPr>
                <w:sz w:val="20"/>
              </w:rPr>
              <w:t>$275</w:t>
            </w:r>
          </w:p>
        </w:tc>
        <w:tc>
          <w:tcPr>
            <w:tcW w:type="dxa" w:w="1944"/>
            <w:shd w:fill="F2F2F2"/>
          </w:tcPr>
          <w:p>
            <w:r/>
            <w:r>
              <w:rPr>
                <w:sz w:val="20"/>
              </w:rPr>
              <w:t>$249</w:t>
            </w:r>
          </w:p>
        </w:tc>
        <w:tc>
          <w:tcPr>
            <w:tcW w:type="dxa" w:w="1728"/>
            <w:shd w:fill="F2F2F2"/>
          </w:tcPr>
          <w:p>
            <w:r/>
            <w:r>
              <w:rPr>
                <w:sz w:val="20"/>
              </w:rPr>
              <w:t>$26</w:t>
            </w:r>
          </w:p>
        </w:tc>
        <w:tc>
          <w:tcPr>
            <w:tcW w:type="dxa" w:w="2016"/>
            <w:shd w:fill="F2F2F2"/>
          </w:tcPr>
          <w:p>
            <w:r/>
            <w:r>
              <w:rPr>
                <w:sz w:val="20"/>
              </w:rPr>
              <w:t>$269</w:t>
            </w:r>
          </w:p>
        </w:tc>
      </w:tr>
      <w:tr>
        <w:tc>
          <w:tcPr>
            <w:tcW w:type="dxa" w:w="1008"/>
          </w:tcPr>
          <w:p>
            <w:r/>
            <w:r>
              <w:rPr>
                <w:sz w:val="20"/>
              </w:rPr>
              <w:t>5</w:t>
            </w:r>
          </w:p>
        </w:tc>
        <w:tc>
          <w:tcPr>
            <w:tcW w:type="dxa" w:w="1224"/>
          </w:tcPr>
          <w:p>
            <w:r/>
            <w:r>
              <w:rPr>
                <w:sz w:val="20"/>
              </w:rPr>
              <w:t>1.57</w:t>
            </w:r>
          </w:p>
        </w:tc>
        <w:tc>
          <w:tcPr>
            <w:tcW w:type="dxa" w:w="1512"/>
          </w:tcPr>
          <w:p>
            <w:r/>
            <w:r>
              <w:rPr>
                <w:sz w:val="20"/>
              </w:rPr>
              <w:t>$308</w:t>
            </w:r>
          </w:p>
        </w:tc>
        <w:tc>
          <w:tcPr>
            <w:tcW w:type="dxa" w:w="1944"/>
          </w:tcPr>
          <w:p>
            <w:r/>
            <w:r>
              <w:rPr>
                <w:sz w:val="20"/>
              </w:rPr>
              <w:t>$318</w:t>
            </w:r>
          </w:p>
        </w:tc>
        <w:tc>
          <w:tcPr>
            <w:tcW w:type="dxa" w:w="1728"/>
          </w:tcPr>
          <w:p>
            <w:r/>
            <w:r>
              <w:rPr>
                <w:sz w:val="20"/>
              </w:rPr>
              <w:t>−$10</w:t>
            </w:r>
          </w:p>
        </w:tc>
        <w:tc>
          <w:tcPr>
            <w:tcW w:type="dxa" w:w="2016"/>
          </w:tcPr>
          <w:p>
            <w:r/>
            <w:r>
              <w:rPr>
                <w:sz w:val="20"/>
              </w:rPr>
              <w:t>$259</w:t>
            </w:r>
          </w:p>
        </w:tc>
      </w:tr>
      <w:tr>
        <w:tc>
          <w:tcPr>
            <w:tcW w:type="dxa" w:w="1008"/>
            <w:shd w:fill="C6EFCE"/>
          </w:tcPr>
          <w:p>
            <w:r/>
            <w:r>
              <w:rPr>
                <w:b/>
                <w:sz w:val="20"/>
              </w:rPr>
              <w:t>5yr Cum.</w:t>
            </w:r>
          </w:p>
        </w:tc>
        <w:tc>
          <w:tcPr>
            <w:tcW w:type="dxa" w:w="1224"/>
            <w:shd w:fill="C6EFCE"/>
          </w:tcPr>
          <w:p>
            <w:r/>
            <w:r>
              <w:rPr>
                <w:b/>
                <w:sz w:val="20"/>
              </w:rPr>
              <w:t>—</w:t>
            </w:r>
          </w:p>
        </w:tc>
        <w:tc>
          <w:tcPr>
            <w:tcW w:type="dxa" w:w="1512"/>
            <w:shd w:fill="C6EFCE"/>
          </w:tcPr>
          <w:p>
            <w:r/>
            <w:r>
              <w:rPr>
                <w:b/>
                <w:sz w:val="20"/>
              </w:rPr>
              <w:t>$1,242</w:t>
            </w:r>
          </w:p>
        </w:tc>
        <w:tc>
          <w:tcPr>
            <w:tcW w:type="dxa" w:w="1944"/>
            <w:shd w:fill="C6EFCE"/>
          </w:tcPr>
          <w:p>
            <w:r/>
            <w:r>
              <w:rPr>
                <w:b/>
                <w:sz w:val="20"/>
              </w:rPr>
              <w:t>$984</w:t>
            </w:r>
          </w:p>
        </w:tc>
        <w:tc>
          <w:tcPr>
            <w:tcW w:type="dxa" w:w="1728"/>
            <w:shd w:fill="C6EFCE"/>
          </w:tcPr>
          <w:p>
            <w:r/>
            <w:r>
              <w:rPr>
                <w:b/>
                <w:sz w:val="20"/>
              </w:rPr>
              <w:t>$259</w:t>
            </w:r>
          </w:p>
        </w:tc>
        <w:tc>
          <w:tcPr>
            <w:tcW w:type="dxa" w:w="2016"/>
            <w:shd w:fill="C6EFCE"/>
          </w:tcPr>
          <w:p>
            <w:r/>
            <w:r>
              <w:rPr>
                <w:b/>
                <w:sz w:val="20"/>
              </w:rPr>
              <w:t>—</w:t>
            </w:r>
          </w:p>
        </w:tc>
      </w:tr>
    </w:tbl>
    <w:p>
      <w:pPr>
        <w:spacing w:after="120"/>
      </w:pPr>
      <w:r>
        <w:rPr>
          <w:b w:val="0"/>
          <w:i/>
          <w:sz w:val="22"/>
        </w:rPr>
        <w:t>Note: Year 4-5 margin compression reflects content amortization catching up with content investment (industry-standard effect). Run-rate IT cost is flat. Sustaining CapEx of $4.4M/yr added in Y4-5 is included in the cost column.</w:t>
      </w:r>
    </w:p>
    <w:p/>
    <w:p>
      <w:pPr>
        <w:pStyle w:val="Heading2"/>
        <w:spacing w:before="280" w:after="80"/>
      </w:pPr>
      <w:r>
        <w:rPr>
          <w:b/>
          <w:color w:val="1F3864"/>
          <w:sz w:val="28"/>
        </w:rPr>
        <w:t>C. Key storage and traffic sizing</w:t>
      </w:r>
    </w:p>
    <w:tbl>
      <w:tblPr>
        <w:tblW w:type="auto" w:w="0"/>
        <w:jc w:val="center"/>
        <w:tblLayout w:type="fixed"/>
        <w:tblLook w:firstColumn="1" w:firstRow="1" w:lastColumn="0" w:lastRow="0" w:noHBand="0" w:noVBand="1" w:val="04A0"/>
      </w:tblPr>
      <w:tblGrid>
        <w:gridCol w:w="3120"/>
        <w:gridCol w:w="3120"/>
        <w:gridCol w:w="3120"/>
      </w:tblGrid>
      <w:tr>
        <w:tc>
          <w:tcPr>
            <w:tcW w:type="dxa" w:w="3600"/>
            <w:shd w:fill="1F3864"/>
            <w:vAlign w:val="center"/>
          </w:tcPr>
          <w:p>
            <w:r/>
            <w:r>
              <w:rPr>
                <w:b/>
                <w:color w:val="FFFFFF"/>
                <w:sz w:val="21"/>
              </w:rPr>
              <w:t>Metric</w:t>
            </w:r>
          </w:p>
        </w:tc>
        <w:tc>
          <w:tcPr>
            <w:tcW w:type="dxa" w:w="1872"/>
            <w:shd w:fill="1F3864"/>
            <w:vAlign w:val="center"/>
          </w:tcPr>
          <w:p>
            <w:r/>
            <w:r>
              <w:rPr>
                <w:b/>
                <w:color w:val="FFFFFF"/>
                <w:sz w:val="21"/>
              </w:rPr>
              <w:t>Value</w:t>
            </w:r>
          </w:p>
        </w:tc>
        <w:tc>
          <w:tcPr>
            <w:tcW w:type="dxa" w:w="4032"/>
            <w:shd w:fill="1F3864"/>
            <w:vAlign w:val="center"/>
          </w:tcPr>
          <w:p>
            <w:r/>
            <w:r>
              <w:rPr>
                <w:b/>
                <w:color w:val="FFFFFF"/>
                <w:sz w:val="21"/>
              </w:rPr>
              <w:t>Derivation</w:t>
            </w:r>
          </w:p>
        </w:tc>
      </w:tr>
      <w:tr>
        <w:tc>
          <w:tcPr>
            <w:tcW w:type="dxa" w:w="3600"/>
          </w:tcPr>
          <w:p>
            <w:r/>
            <w:r>
              <w:rPr>
                <w:sz w:val="20"/>
              </w:rPr>
              <w:t>Daily active users (DAU)</w:t>
            </w:r>
          </w:p>
        </w:tc>
        <w:tc>
          <w:tcPr>
            <w:tcW w:type="dxa" w:w="1872"/>
          </w:tcPr>
          <w:p>
            <w:r/>
            <w:r>
              <w:rPr>
                <w:sz w:val="20"/>
              </w:rPr>
              <w:t>350,000</w:t>
            </w:r>
          </w:p>
        </w:tc>
        <w:tc>
          <w:tcPr>
            <w:tcW w:type="dxa" w:w="4032"/>
          </w:tcPr>
          <w:p>
            <w:r/>
            <w:r>
              <w:rPr>
                <w:sz w:val="20"/>
              </w:rPr>
              <w:t>1M × 35%</w:t>
            </w:r>
          </w:p>
        </w:tc>
      </w:tr>
      <w:tr>
        <w:tc>
          <w:tcPr>
            <w:tcW w:type="dxa" w:w="3600"/>
            <w:shd w:fill="F2F2F2"/>
          </w:tcPr>
          <w:p>
            <w:r/>
            <w:r>
              <w:rPr>
                <w:sz w:val="20"/>
              </w:rPr>
              <w:t>Peak concurrent streams (prime-time 10%)</w:t>
            </w:r>
          </w:p>
        </w:tc>
        <w:tc>
          <w:tcPr>
            <w:tcW w:type="dxa" w:w="1872"/>
            <w:shd w:fill="F2F2F2"/>
          </w:tcPr>
          <w:p>
            <w:r/>
            <w:r>
              <w:rPr>
                <w:sz w:val="20"/>
              </w:rPr>
              <w:t>35,000</w:t>
            </w:r>
          </w:p>
        </w:tc>
        <w:tc>
          <w:tcPr>
            <w:tcW w:type="dxa" w:w="4032"/>
            <w:shd w:fill="F2F2F2"/>
          </w:tcPr>
          <w:p>
            <w:r/>
            <w:r>
              <w:rPr>
                <w:sz w:val="20"/>
              </w:rPr>
              <w:t>DAU × 10%</w:t>
            </w:r>
          </w:p>
        </w:tc>
      </w:tr>
      <w:tr>
        <w:tc>
          <w:tcPr>
            <w:tcW w:type="dxa" w:w="3600"/>
          </w:tcPr>
          <w:p>
            <w:r/>
            <w:r>
              <w:rPr>
                <w:sz w:val="20"/>
              </w:rPr>
              <w:t>Peak egress bandwidth</w:t>
            </w:r>
          </w:p>
        </w:tc>
        <w:tc>
          <w:tcPr>
            <w:tcW w:type="dxa" w:w="1872"/>
          </w:tcPr>
          <w:p>
            <w:r/>
            <w:r>
              <w:rPr>
                <w:sz w:val="20"/>
              </w:rPr>
              <w:t>311.5 Gbps</w:t>
            </w:r>
          </w:p>
        </w:tc>
        <w:tc>
          <w:tcPr>
            <w:tcW w:type="dxa" w:w="4032"/>
          </w:tcPr>
          <w:p>
            <w:r/>
            <w:r>
              <w:rPr>
                <w:sz w:val="20"/>
              </w:rPr>
              <w:t>35,000 × 8.9 Mbps</w:t>
            </w:r>
          </w:p>
        </w:tc>
      </w:tr>
      <w:tr>
        <w:tc>
          <w:tcPr>
            <w:tcW w:type="dxa" w:w="3600"/>
            <w:shd w:fill="F2F2F2"/>
          </w:tcPr>
          <w:p>
            <w:r/>
            <w:r>
              <w:rPr>
                <w:sz w:val="20"/>
              </w:rPr>
              <w:t>Daily egress</w:t>
            </w:r>
          </w:p>
        </w:tc>
        <w:tc>
          <w:tcPr>
            <w:tcW w:type="dxa" w:w="1872"/>
            <w:shd w:fill="F2F2F2"/>
          </w:tcPr>
          <w:p>
            <w:r/>
            <w:r>
              <w:rPr>
                <w:sz w:val="20"/>
              </w:rPr>
              <w:t>2.61 PB</w:t>
            </w:r>
          </w:p>
        </w:tc>
        <w:tc>
          <w:tcPr>
            <w:tcW w:type="dxa" w:w="4032"/>
            <w:shd w:fill="F2F2F2"/>
          </w:tcPr>
          <w:p>
            <w:r/>
            <w:r>
              <w:rPr>
                <w:sz w:val="20"/>
              </w:rPr>
              <w:t>DAU × 2hr × 8.9 Mbps</w:t>
            </w:r>
          </w:p>
        </w:tc>
      </w:tr>
      <w:tr>
        <w:tc>
          <w:tcPr>
            <w:tcW w:type="dxa" w:w="3600"/>
          </w:tcPr>
          <w:p>
            <w:r/>
            <w:r>
              <w:rPr>
                <w:sz w:val="20"/>
              </w:rPr>
              <w:t>Monthly egress</w:t>
            </w:r>
          </w:p>
        </w:tc>
        <w:tc>
          <w:tcPr>
            <w:tcW w:type="dxa" w:w="1872"/>
          </w:tcPr>
          <w:p>
            <w:r/>
            <w:r>
              <w:rPr>
                <w:sz w:val="20"/>
              </w:rPr>
              <w:t>78 PB</w:t>
            </w:r>
          </w:p>
        </w:tc>
        <w:tc>
          <w:tcPr>
            <w:tcW w:type="dxa" w:w="4032"/>
          </w:tcPr>
          <w:p>
            <w:r/>
            <w:r>
              <w:rPr>
                <w:sz w:val="20"/>
              </w:rPr>
              <w:t>Daily × 30</w:t>
            </w:r>
          </w:p>
        </w:tc>
      </w:tr>
      <w:tr>
        <w:tc>
          <w:tcPr>
            <w:tcW w:type="dxa" w:w="3600"/>
            <w:shd w:fill="F2F2F2"/>
          </w:tcPr>
          <w:p>
            <w:r/>
            <w:r>
              <w:rPr>
                <w:sz w:val="20"/>
              </w:rPr>
              <w:t>Annual egress</w:t>
            </w:r>
          </w:p>
        </w:tc>
        <w:tc>
          <w:tcPr>
            <w:tcW w:type="dxa" w:w="1872"/>
            <w:shd w:fill="F2F2F2"/>
          </w:tcPr>
          <w:p>
            <w:r/>
            <w:r>
              <w:rPr>
                <w:sz w:val="20"/>
              </w:rPr>
              <w:t>953 PB</w:t>
            </w:r>
          </w:p>
        </w:tc>
        <w:tc>
          <w:tcPr>
            <w:tcW w:type="dxa" w:w="4032"/>
            <w:shd w:fill="F2F2F2"/>
          </w:tcPr>
          <w:p>
            <w:r/>
            <w:r>
              <w:rPr>
                <w:sz w:val="20"/>
              </w:rPr>
              <w:t>Monthly × 12</w:t>
            </w:r>
          </w:p>
        </w:tc>
      </w:tr>
      <w:tr>
        <w:tc>
          <w:tcPr>
            <w:tcW w:type="dxa" w:w="3600"/>
          </w:tcPr>
          <w:p>
            <w:r/>
            <w:r>
              <w:rPr>
                <w:sz w:val="20"/>
              </w:rPr>
              <w:t>Raw content library</w:t>
            </w:r>
          </w:p>
        </w:tc>
        <w:tc>
          <w:tcPr>
            <w:tcW w:type="dxa" w:w="1872"/>
          </w:tcPr>
          <w:p>
            <w:r/>
            <w:r>
              <w:rPr>
                <w:sz w:val="20"/>
              </w:rPr>
              <w:t>13.1 PB</w:t>
            </w:r>
          </w:p>
        </w:tc>
        <w:tc>
          <w:tcPr>
            <w:tcW w:type="dxa" w:w="4032"/>
          </w:tcPr>
          <w:p>
            <w:r/>
            <w:r>
              <w:rPr>
                <w:sz w:val="20"/>
              </w:rPr>
              <w:t>100K × 22 GB × 2.5 × 2.5 / 1024²</w:t>
            </w:r>
          </w:p>
        </w:tc>
      </w:tr>
      <w:tr>
        <w:tc>
          <w:tcPr>
            <w:tcW w:type="dxa" w:w="3600"/>
            <w:shd w:fill="F2F2F2"/>
          </w:tcPr>
          <w:p>
            <w:r/>
            <w:r>
              <w:rPr>
                <w:sz w:val="20"/>
              </w:rPr>
              <w:t>Hot tier (NVMe, 10%)</w:t>
            </w:r>
          </w:p>
        </w:tc>
        <w:tc>
          <w:tcPr>
            <w:tcW w:type="dxa" w:w="1872"/>
            <w:shd w:fill="F2F2F2"/>
          </w:tcPr>
          <w:p>
            <w:r/>
            <w:r>
              <w:rPr>
                <w:sz w:val="20"/>
              </w:rPr>
              <w:t>1.3 PB</w:t>
            </w:r>
          </w:p>
        </w:tc>
        <w:tc>
          <w:tcPr>
            <w:tcW w:type="dxa" w:w="4032"/>
            <w:shd w:fill="F2F2F2"/>
          </w:tcPr>
          <w:p>
            <w:r/>
            <w:r>
              <w:rPr>
                <w:sz w:val="20"/>
              </w:rPr>
              <w:t>Library × 10%</w:t>
            </w:r>
          </w:p>
        </w:tc>
      </w:tr>
      <w:tr>
        <w:tc>
          <w:tcPr>
            <w:tcW w:type="dxa" w:w="3600"/>
          </w:tcPr>
          <w:p>
            <w:r/>
            <w:r>
              <w:rPr>
                <w:sz w:val="20"/>
              </w:rPr>
              <w:t>Cold tier (HDD)</w:t>
            </w:r>
          </w:p>
        </w:tc>
        <w:tc>
          <w:tcPr>
            <w:tcW w:type="dxa" w:w="1872"/>
          </w:tcPr>
          <w:p>
            <w:r/>
            <w:r>
              <w:rPr>
                <w:sz w:val="20"/>
              </w:rPr>
              <w:t>11.8 PB</w:t>
            </w:r>
          </w:p>
        </w:tc>
        <w:tc>
          <w:tcPr>
            <w:tcW w:type="dxa" w:w="4032"/>
          </w:tcPr>
          <w:p>
            <w:r/>
            <w:r>
              <w:rPr>
                <w:sz w:val="20"/>
              </w:rPr>
              <w:t>Library × 90%</w:t>
            </w:r>
          </w:p>
        </w:tc>
      </w:tr>
      <w:tr>
        <w:tc>
          <w:tcPr>
            <w:tcW w:type="dxa" w:w="3600"/>
            <w:shd w:fill="F2F2F2"/>
          </w:tcPr>
          <w:p>
            <w:r/>
            <w:r>
              <w:rPr>
                <w:sz w:val="20"/>
              </w:rPr>
              <w:t>Flight Recorder (7-yr cumulative)</w:t>
            </w:r>
          </w:p>
        </w:tc>
        <w:tc>
          <w:tcPr>
            <w:tcW w:type="dxa" w:w="1872"/>
            <w:shd w:fill="F2F2F2"/>
          </w:tcPr>
          <w:p>
            <w:r/>
            <w:r>
              <w:rPr>
                <w:sz w:val="20"/>
              </w:rPr>
              <w:t>84 PB</w:t>
            </w:r>
          </w:p>
        </w:tc>
        <w:tc>
          <w:tcPr>
            <w:tcW w:type="dxa" w:w="4032"/>
            <w:shd w:fill="F2F2F2"/>
          </w:tcPr>
          <w:p>
            <w:r/>
            <w:r>
              <w:rPr>
                <w:sz w:val="20"/>
              </w:rPr>
              <w:t>12 PB/yr × 7</w:t>
            </w:r>
          </w:p>
        </w:tc>
      </w:tr>
      <w:tr>
        <w:tc>
          <w:tcPr>
            <w:tcW w:type="dxa" w:w="3600"/>
            <w:shd w:fill="C6EFCE"/>
          </w:tcPr>
          <w:p>
            <w:r/>
            <w:r>
              <w:rPr>
                <w:b/>
                <w:sz w:val="20"/>
              </w:rPr>
              <w:t>Total storage footprint</w:t>
            </w:r>
          </w:p>
        </w:tc>
        <w:tc>
          <w:tcPr>
            <w:tcW w:type="dxa" w:w="1872"/>
            <w:shd w:fill="C6EFCE"/>
          </w:tcPr>
          <w:p>
            <w:r/>
            <w:r>
              <w:rPr>
                <w:b/>
                <w:sz w:val="20"/>
              </w:rPr>
              <w:t>97 PB</w:t>
            </w:r>
          </w:p>
        </w:tc>
        <w:tc>
          <w:tcPr>
            <w:tcW w:type="dxa" w:w="4032"/>
            <w:shd w:fill="C6EFCE"/>
          </w:tcPr>
          <w:p>
            <w:r/>
            <w:r>
              <w:rPr>
                <w:b/>
                <w:sz w:val="20"/>
              </w:rPr>
              <w:t>Library + FR</w:t>
            </w:r>
          </w:p>
        </w:tc>
      </w:tr>
    </w:tbl>
    <w:p/>
    <w:p>
      <w:pPr>
        <w:pStyle w:val="Heading2"/>
        <w:spacing w:before="280" w:after="80"/>
      </w:pPr>
      <w:r>
        <w:rPr>
          <w:b/>
          <w:color w:val="1F3864"/>
          <w:sz w:val="28"/>
        </w:rPr>
        <w:t>D. Comparison at a glance — Sovereign On-Prem vs Multi-Cloud</w:t>
      </w:r>
    </w:p>
    <w:tbl>
      <w:tblPr>
        <w:tblW w:type="auto" w:w="0"/>
        <w:jc w:val="center"/>
        <w:tblLayout w:type="fixed"/>
        <w:tblLook w:firstColumn="1" w:firstRow="1" w:lastColumn="0" w:lastRow="0" w:noHBand="0" w:noVBand="1" w:val="04A0"/>
      </w:tblPr>
      <w:tblGrid>
        <w:gridCol w:w="3120"/>
        <w:gridCol w:w="3120"/>
        <w:gridCol w:w="3120"/>
      </w:tblGrid>
      <w:tr>
        <w:tc>
          <w:tcPr>
            <w:tcW w:type="dxa" w:w="3168"/>
            <w:shd w:fill="1F3864"/>
            <w:vAlign w:val="center"/>
          </w:tcPr>
          <w:p>
            <w:r/>
            <w:r>
              <w:rPr>
                <w:b/>
                <w:color w:val="FFFFFF"/>
                <w:sz w:val="21"/>
              </w:rPr>
              <w:t>Dimension</w:t>
            </w:r>
          </w:p>
        </w:tc>
        <w:tc>
          <w:tcPr>
            <w:tcW w:type="dxa" w:w="3312"/>
            <w:shd w:fill="1F3864"/>
            <w:vAlign w:val="center"/>
          </w:tcPr>
          <w:p>
            <w:r/>
            <w:r>
              <w:rPr>
                <w:b/>
                <w:color w:val="FFFFFF"/>
                <w:sz w:val="21"/>
              </w:rPr>
              <w:t>Sovereign On-Prem</w:t>
            </w:r>
          </w:p>
        </w:tc>
        <w:tc>
          <w:tcPr>
            <w:tcW w:type="dxa" w:w="3312"/>
            <w:shd w:fill="1F3864"/>
            <w:vAlign w:val="center"/>
          </w:tcPr>
          <w:p>
            <w:r/>
            <w:r>
              <w:rPr>
                <w:b/>
                <w:color w:val="FFFFFF"/>
                <w:sz w:val="21"/>
              </w:rPr>
              <w:t>Multi-Cloud (Azure+AWS)</w:t>
            </w:r>
          </w:p>
        </w:tc>
      </w:tr>
      <w:tr>
        <w:tc>
          <w:tcPr>
            <w:tcW w:type="dxa" w:w="3168"/>
          </w:tcPr>
          <w:p>
            <w:r/>
            <w:r>
              <w:rPr>
                <w:sz w:val="20"/>
              </w:rPr>
              <w:t>Year 0/1 CapEx</w:t>
            </w:r>
          </w:p>
        </w:tc>
        <w:tc>
          <w:tcPr>
            <w:tcW w:type="dxa" w:w="3312"/>
          </w:tcPr>
          <w:p>
            <w:r/>
            <w:r>
              <w:rPr>
                <w:sz w:val="20"/>
              </w:rPr>
              <w:t>$40.5 M</w:t>
            </w:r>
          </w:p>
        </w:tc>
        <w:tc>
          <w:tcPr>
            <w:tcW w:type="dxa" w:w="3312"/>
          </w:tcPr>
          <w:p>
            <w:r/>
            <w:r>
              <w:rPr>
                <w:sz w:val="20"/>
              </w:rPr>
              <w:t>$0 (pure OpEx)</w:t>
            </w:r>
          </w:p>
        </w:tc>
      </w:tr>
      <w:tr>
        <w:tc>
          <w:tcPr>
            <w:tcW w:type="dxa" w:w="3168"/>
            <w:shd w:fill="F2F2F2"/>
          </w:tcPr>
          <w:p>
            <w:r/>
            <w:r>
              <w:rPr>
                <w:sz w:val="20"/>
              </w:rPr>
              <w:t>Year 1 CASH outlay</w:t>
            </w:r>
          </w:p>
        </w:tc>
        <w:tc>
          <w:tcPr>
            <w:tcW w:type="dxa" w:w="3312"/>
            <w:shd w:fill="F2F2F2"/>
          </w:tcPr>
          <w:p>
            <w:r/>
            <w:r>
              <w:rPr>
                <w:sz w:val="20"/>
              </w:rPr>
              <w:t>$71.4 M</w:t>
            </w:r>
          </w:p>
        </w:tc>
        <w:tc>
          <w:tcPr>
            <w:tcW w:type="dxa" w:w="3312"/>
            <w:shd w:fill="F2F2F2"/>
          </w:tcPr>
          <w:p>
            <w:r/>
            <w:r>
              <w:rPr>
                <w:sz w:val="20"/>
              </w:rPr>
              <w:t>$47.5 M</w:t>
            </w:r>
          </w:p>
        </w:tc>
      </w:tr>
      <w:tr>
        <w:tc>
          <w:tcPr>
            <w:tcW w:type="dxa" w:w="3168"/>
          </w:tcPr>
          <w:p>
            <w:r/>
            <w:r>
              <w:rPr>
                <w:sz w:val="20"/>
              </w:rPr>
              <w:t>Annual run-rate (amortized)</w:t>
            </w:r>
          </w:p>
        </w:tc>
        <w:tc>
          <w:tcPr>
            <w:tcW w:type="dxa" w:w="3312"/>
          </w:tcPr>
          <w:p>
            <w:r/>
            <w:r>
              <w:rPr>
                <w:sz w:val="20"/>
              </w:rPr>
              <w:t>$39.0 M</w:t>
            </w:r>
          </w:p>
        </w:tc>
        <w:tc>
          <w:tcPr>
            <w:tcW w:type="dxa" w:w="3312"/>
          </w:tcPr>
          <w:p>
            <w:r/>
            <w:r>
              <w:rPr>
                <w:sz w:val="20"/>
              </w:rPr>
              <w:t>$47.5 M</w:t>
            </w:r>
          </w:p>
        </w:tc>
      </w:tr>
      <w:tr>
        <w:tc>
          <w:tcPr>
            <w:tcW w:type="dxa" w:w="3168"/>
            <w:shd w:fill="F2F2F2"/>
          </w:tcPr>
          <w:p>
            <w:r/>
            <w:r>
              <w:rPr>
                <w:sz w:val="20"/>
              </w:rPr>
              <w:t>5-year TCO</w:t>
            </w:r>
          </w:p>
        </w:tc>
        <w:tc>
          <w:tcPr>
            <w:tcW w:type="dxa" w:w="3312"/>
            <w:shd w:fill="F2F2F2"/>
          </w:tcPr>
          <w:p>
            <w:r/>
            <w:r>
              <w:rPr>
                <w:sz w:val="20"/>
              </w:rPr>
              <w:t>$217 M</w:t>
            </w:r>
          </w:p>
        </w:tc>
        <w:tc>
          <w:tcPr>
            <w:tcW w:type="dxa" w:w="3312"/>
            <w:shd w:fill="F2F2F2"/>
          </w:tcPr>
          <w:p>
            <w:r/>
            <w:r>
              <w:rPr>
                <w:sz w:val="20"/>
              </w:rPr>
              <w:t>$260 M</w:t>
            </w:r>
          </w:p>
        </w:tc>
      </w:tr>
      <w:tr>
        <w:tc>
          <w:tcPr>
            <w:tcW w:type="dxa" w:w="3168"/>
          </w:tcPr>
          <w:p>
            <w:r/>
            <w:r>
              <w:rPr>
                <w:sz w:val="20"/>
              </w:rPr>
              <w:t>In-house FTE</w:t>
            </w:r>
          </w:p>
        </w:tc>
        <w:tc>
          <w:tcPr>
            <w:tcW w:type="dxa" w:w="3312"/>
          </w:tcPr>
          <w:p>
            <w:r/>
            <w:r>
              <w:rPr>
                <w:sz w:val="20"/>
              </w:rPr>
              <w:t>39</w:t>
            </w:r>
          </w:p>
        </w:tc>
        <w:tc>
          <w:tcPr>
            <w:tcW w:type="dxa" w:w="3312"/>
          </w:tcPr>
          <w:p>
            <w:r/>
            <w:r>
              <w:rPr>
                <w:sz w:val="20"/>
              </w:rPr>
              <w:t>23</w:t>
            </w:r>
          </w:p>
        </w:tc>
      </w:tr>
      <w:tr>
        <w:tc>
          <w:tcPr>
            <w:tcW w:type="dxa" w:w="3168"/>
            <w:shd w:fill="F2F2F2"/>
          </w:tcPr>
          <w:p>
            <w:r/>
            <w:r>
              <w:rPr>
                <w:sz w:val="20"/>
              </w:rPr>
              <w:t>Capacity lead time</w:t>
            </w:r>
          </w:p>
        </w:tc>
        <w:tc>
          <w:tcPr>
            <w:tcW w:type="dxa" w:w="3312"/>
            <w:shd w:fill="F2F2F2"/>
          </w:tcPr>
          <w:p>
            <w:r/>
            <w:r>
              <w:rPr>
                <w:sz w:val="20"/>
              </w:rPr>
              <w:t>12–16 weeks (rack)</w:t>
            </w:r>
          </w:p>
        </w:tc>
        <w:tc>
          <w:tcPr>
            <w:tcW w:type="dxa" w:w="3312"/>
            <w:shd w:fill="F2F2F2"/>
          </w:tcPr>
          <w:p>
            <w:r/>
            <w:r>
              <w:rPr>
                <w:sz w:val="20"/>
              </w:rPr>
              <w:t>minutes–hours (cloud)</w:t>
            </w:r>
          </w:p>
        </w:tc>
      </w:tr>
      <w:tr>
        <w:tc>
          <w:tcPr>
            <w:tcW w:type="dxa" w:w="3168"/>
          </w:tcPr>
          <w:p>
            <w:r/>
            <w:r>
              <w:rPr>
                <w:sz w:val="20"/>
              </w:rPr>
              <w:t>AI inference location</w:t>
            </w:r>
          </w:p>
        </w:tc>
        <w:tc>
          <w:tcPr>
            <w:tcW w:type="dxa" w:w="3312"/>
          </w:tcPr>
          <w:p>
            <w:r/>
            <w:r>
              <w:rPr>
                <w:sz w:val="20"/>
              </w:rPr>
              <w:t>On-prem (Llama 3 / Mistral)</w:t>
            </w:r>
          </w:p>
        </w:tc>
        <w:tc>
          <w:tcPr>
            <w:tcW w:type="dxa" w:w="3312"/>
          </w:tcPr>
          <w:p>
            <w:r/>
            <w:r>
              <w:rPr>
                <w:sz w:val="20"/>
              </w:rPr>
              <w:t>Azure OpenAI + Bedrock</w:t>
            </w:r>
          </w:p>
        </w:tc>
      </w:tr>
      <w:tr>
        <w:tc>
          <w:tcPr>
            <w:tcW w:type="dxa" w:w="3168"/>
            <w:shd w:fill="F2F2F2"/>
          </w:tcPr>
          <w:p>
            <w:r/>
            <w:r>
              <w:rPr>
                <w:sz w:val="20"/>
              </w:rPr>
              <w:t>PII egress to public cloud</w:t>
            </w:r>
          </w:p>
        </w:tc>
        <w:tc>
          <w:tcPr>
            <w:tcW w:type="dxa" w:w="3312"/>
            <w:shd w:fill="F2F2F2"/>
          </w:tcPr>
          <w:p>
            <w:r/>
            <w:r>
              <w:rPr>
                <w:sz w:val="20"/>
              </w:rPr>
              <w:t>Zero</w:t>
            </w:r>
          </w:p>
        </w:tc>
        <w:tc>
          <w:tcPr>
            <w:tcW w:type="dxa" w:w="3312"/>
            <w:shd w:fill="F2F2F2"/>
          </w:tcPr>
          <w:p>
            <w:r/>
            <w:r>
              <w:rPr>
                <w:sz w:val="20"/>
              </w:rPr>
              <w:t>Operational</w:t>
            </w:r>
          </w:p>
        </w:tc>
      </w:tr>
      <w:tr>
        <w:tc>
          <w:tcPr>
            <w:tcW w:type="dxa" w:w="3168"/>
          </w:tcPr>
          <w:p>
            <w:r/>
            <w:r>
              <w:rPr>
                <w:sz w:val="20"/>
              </w:rPr>
              <w:t>Regulatory posture</w:t>
            </w:r>
          </w:p>
        </w:tc>
        <w:tc>
          <w:tcPr>
            <w:tcW w:type="dxa" w:w="3312"/>
          </w:tcPr>
          <w:p>
            <w:r/>
            <w:r>
              <w:rPr>
                <w:sz w:val="20"/>
              </w:rPr>
              <w:t>Sovereign-defensible</w:t>
            </w:r>
          </w:p>
        </w:tc>
        <w:tc>
          <w:tcPr>
            <w:tcW w:type="dxa" w:w="3312"/>
          </w:tcPr>
          <w:p>
            <w:r/>
            <w:r>
              <w:rPr>
                <w:sz w:val="20"/>
              </w:rPr>
              <w:t>Cross-border attestations</w:t>
            </w:r>
          </w:p>
        </w:tc>
      </w:tr>
      <w:tr>
        <w:tc>
          <w:tcPr>
            <w:tcW w:type="dxa" w:w="3168"/>
            <w:shd w:fill="F2F2F2"/>
          </w:tcPr>
          <w:p>
            <w:r/>
            <w:r>
              <w:rPr>
                <w:sz w:val="20"/>
              </w:rPr>
              <w:t>Burst capacity</w:t>
            </w:r>
          </w:p>
        </w:tc>
        <w:tc>
          <w:tcPr>
            <w:tcW w:type="dxa" w:w="3312"/>
            <w:shd w:fill="F2F2F2"/>
          </w:tcPr>
          <w:p>
            <w:r/>
            <w:r>
              <w:rPr>
                <w:sz w:val="20"/>
              </w:rPr>
              <w:t>Fixed (hybrid for peaks)</w:t>
            </w:r>
          </w:p>
        </w:tc>
        <w:tc>
          <w:tcPr>
            <w:tcW w:type="dxa" w:w="3312"/>
            <w:shd w:fill="F2F2F2"/>
          </w:tcPr>
          <w:p>
            <w:r/>
            <w:r>
              <w:rPr>
                <w:sz w:val="20"/>
              </w:rPr>
              <w:t>Elastic native</w:t>
            </w:r>
          </w:p>
        </w:tc>
      </w:tr>
      <w:tr>
        <w:tc>
          <w:tcPr>
            <w:tcW w:type="dxa" w:w="3168"/>
          </w:tcPr>
          <w:p>
            <w:r/>
            <w:r>
              <w:rPr>
                <w:sz w:val="20"/>
              </w:rPr>
              <w:t>Break-even vs other option</w:t>
            </w:r>
          </w:p>
        </w:tc>
        <w:tc>
          <w:tcPr>
            <w:tcW w:type="dxa" w:w="3312"/>
          </w:tcPr>
          <w:p>
            <w:r/>
            <w:r>
              <w:rPr>
                <w:sz w:val="20"/>
              </w:rPr>
              <w:t>2.4 years</w:t>
            </w:r>
          </w:p>
        </w:tc>
        <w:tc>
          <w:tcPr>
            <w:tcW w:type="dxa" w:w="3312"/>
          </w:tcPr>
          <w:p>
            <w:r/>
            <w:r>
              <w:rPr>
                <w:sz w:val="20"/>
              </w:rPr>
              <w:t>N/A (baseline)</w:t>
            </w:r>
          </w:p>
        </w:tc>
      </w:tr>
      <w:tr>
        <w:tc>
          <w:tcPr>
            <w:tcW w:type="dxa" w:w="3168"/>
            <w:shd w:fill="C6EFCE"/>
          </w:tcPr>
          <w:p>
            <w:r/>
            <w:r>
              <w:rPr>
                <w:b/>
                <w:sz w:val="20"/>
              </w:rPr>
              <w:t>Best fit</w:t>
            </w:r>
          </w:p>
        </w:tc>
        <w:tc>
          <w:tcPr>
            <w:tcW w:type="dxa" w:w="3312"/>
            <w:shd w:fill="C6EFCE"/>
          </w:tcPr>
          <w:p>
            <w:r/>
            <w:r>
              <w:rPr>
                <w:b/>
                <w:sz w:val="20"/>
              </w:rPr>
              <w:t>Regulated EU operators, &gt;5yr horizon</w:t>
            </w:r>
          </w:p>
        </w:tc>
        <w:tc>
          <w:tcPr>
            <w:tcW w:type="dxa" w:w="3312"/>
            <w:shd w:fill="C6EFCE"/>
          </w:tcPr>
          <w:p>
            <w:r/>
            <w:r>
              <w:rPr>
                <w:b/>
                <w:sz w:val="20"/>
              </w:rPr>
              <w:t>Early-stage, global, bursty</w:t>
            </w:r>
          </w:p>
        </w:tc>
      </w:tr>
    </w:tbl>
    <w:p/>
    <w:p>
      <w:pPr>
        <w:spacing w:after="120"/>
      </w:pPr>
      <w:r>
        <w:rPr>
          <w:b w:val="0"/>
          <w:i/>
          <w:sz w:val="22"/>
        </w:rPr>
        <w:t>─── End of document ───</w:t>
      </w:r>
    </w:p>
    <w:p>
      <w:pPr>
        <w:spacing w:after="120"/>
      </w:pPr>
      <w:r>
        <w:rPr>
          <w:b w:val="0"/>
          <w:i/>
          <w:sz w:val="22"/>
        </w:rPr>
        <w:t>Sources: ADAM Reference Architecture, DNA Deployment Specification, Governance Charter, ADAM Fully Sovereign On-Prem Architecture drawio, NetStreamX reference DNA (Assumptions sheet).</w:t>
      </w:r>
    </w:p>
    <w:p>
      <w:pPr>
        <w:spacing w:after="120"/>
      </w:pPr>
      <w:r>
        <w:rPr>
          <w:b w:val="0"/>
          <w:i/>
          <w:sz w:val="22"/>
        </w:rPr>
        <w:t>Companion workbook: ADAM_NetStreamX_OnPrem_Cost_Revenue_Model_v1.xlsx  —  299 live formulas, zero errors.</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