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docProps/app.xml" ContentType="application/vnd.openxmlformats-officedocument.extended-properties+xml"/>
  <Override PartName="/docProps/core.xml" ContentType="application/vnd.openxmlformats-package.core-properties+xml"/>
  <Override PartName="/customXml/item1.xml" ContentType="application/xml"/>
  <Override PartName="/customXml/itemProps1.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1736" w14:textId="77777777" w:rsidR="001A4EDA" w:rsidRDefault="001A4EDA"/>
    <w:p w14:paraId="12904890" w14:textId="77777777" w:rsidR="001A4EDA" w:rsidRDefault="001A4EDA"/>
    <w:p w14:paraId="443C7CE7" w14:textId="77777777" w:rsidR="001A4EDA" w:rsidRDefault="001A4EDA"/>
    <w:p w14:paraId="5F90736C" w14:textId="77777777" w:rsidR="001A4EDA" w:rsidRDefault="001A4EDA"/>
    <w:p w14:paraId="43A8D757" w14:textId="77777777" w:rsidR="001A4EDA" w:rsidRDefault="001A4EDA"/>
    <w:p w14:paraId="3F5A0E08" w14:textId="77777777" w:rsidR="001A4EDA" w:rsidRDefault="001A4EDA"/>
    <w:p w14:paraId="7CD9122F" w14:textId="77777777" w:rsidR="001A4EDA" w:rsidRDefault="00000000">
      <w:pPr>
        <w:jc w:val="center"/>
      </w:pPr>
      <w:r>
        <w:rPr>
          <w:b/>
          <w:color w:val="1F3A5F"/>
          <w:sz w:val="72"/>
        </w:rPr>
        <w:t>A.D.A.M</w:t>
      </w:r>
    </w:p>
    <w:p w14:paraId="2E9B87A4" w14:textId="77777777" w:rsidR="001A4EDA" w:rsidRDefault="00000000">
      <w:pPr>
        <w:jc w:val="center"/>
      </w:pPr>
      <w:r>
        <w:rPr>
          <w:color w:val="1F3A5F"/>
          <w:sz w:val="36"/>
        </w:rPr>
        <w:t>Autonomy Doctrine &amp; Architecture Model</w:t>
      </w:r>
    </w:p>
    <w:p w14:paraId="1FAF6E14" w14:textId="77777777" w:rsidR="001A4EDA" w:rsidRDefault="001A4EDA"/>
    <w:p w14:paraId="281EC464" w14:textId="77777777" w:rsidR="001A4EDA" w:rsidRDefault="00000000">
      <w:pPr>
        <w:jc w:val="center"/>
      </w:pPr>
      <w:r>
        <w:rPr>
          <w:b/>
          <w:color w:val="1F3A5F"/>
          <w:sz w:val="44"/>
        </w:rPr>
        <w:t>Industry Specific Services &amp; Architecture</w:t>
      </w:r>
    </w:p>
    <w:p w14:paraId="3F6102F9" w14:textId="77777777" w:rsidR="001A4EDA" w:rsidRDefault="001A4EDA"/>
    <w:p w14:paraId="07BBF1B6" w14:textId="77777777" w:rsidR="001A4EDA" w:rsidRDefault="00000000">
      <w:pPr>
        <w:jc w:val="center"/>
      </w:pPr>
      <w:r>
        <w:rPr>
          <w:color w:val="666666"/>
          <w:sz w:val="28"/>
        </w:rPr>
        <w:t>Media  |  Healthcare &amp; Life Sciences  |  Manufacturing</w:t>
      </w:r>
    </w:p>
    <w:p w14:paraId="50349222" w14:textId="77777777" w:rsidR="001A4EDA" w:rsidRDefault="001A4EDA"/>
    <w:p w14:paraId="0BD6F2FA" w14:textId="77777777" w:rsidR="001A4EDA" w:rsidRDefault="001A4EDA"/>
    <w:p w14:paraId="50342561" w14:textId="77777777" w:rsidR="001A4EDA" w:rsidRDefault="001A4EDA"/>
    <w:p w14:paraId="7B8ADBCB" w14:textId="77777777" w:rsidR="001A4EDA" w:rsidRDefault="001A4EDA"/>
    <w:p w14:paraId="191EE79F" w14:textId="77777777" w:rsidR="001A4EDA" w:rsidRDefault="00000000">
      <w:pPr>
        <w:jc w:val="center"/>
      </w:pPr>
      <w:r>
        <w:rPr>
          <w:color w:val="999999"/>
        </w:rPr>
        <w:t>Version 1.2 | April 13, 2026</w:t>
      </w:r>
    </w:p>
    <w:p w14:paraId="51A86F64" w14:textId="2AEA6170" w:rsidR="001A4EDA" w:rsidRDefault="00000000">
      <w:pPr>
        <w:jc w:val="center"/>
      </w:pPr>
      <w:r>
        <w:rPr>
          <w:color w:val="999999"/>
        </w:rPr>
        <w:t>Companion Document to ADAM</w:t>
      </w:r>
    </w:p>
    <w:p w14:paraId="45C624BF" w14:textId="77777777" w:rsidR="001A4EDA" w:rsidRDefault="00000000">
      <w:r>
        <w:br w:type="page"/>
      </w:r>
    </w:p>
    <w:p w14:paraId="5D7C8FEC" w14:textId="77777777" w:rsidR="001A4EDA" w:rsidRDefault="00000000">
      <w:pPr>
        <w:pStyle w:val="Heading1"/>
      </w:pPr>
      <w:bookmarkStart w:id="0" w:name="_Toc227587121"/>
      <w:r>
        <w:lastRenderedPageBreak/>
        <w:t>Table of Contents</w:t>
      </w:r>
      <w:bookmarkEnd w:id="0"/>
    </w:p>
    <w:p w14:paraId="0EAA3717" w14:textId="77777777" w:rsidR="001A4EDA" w:rsidRDefault="00000000">
      <w:r>
        <w:rPr>
          <w:i/>
        </w:rPr>
        <w:t>Update this field after generation: Right-click &gt; Update Field in Word.</w:t>
      </w:r>
    </w:p>
    <w:p w14:paraId="3310257A" w14:textId="77777777" w:rsidR="001A4EDA" w:rsidRDefault="001A4EDA"/>
    <w:p w14:paraId="2C6E079F" w14:textId="6DEFE4AC" w:rsidR="009E4938" w:rsidRDefault="00000000">
      <w:pPr>
        <w:pStyle w:val="TOC1"/>
        <w:tabs>
          <w:tab w:val="right" w:leader="dot" w:pos="9350"/>
        </w:tabs>
        <w:rPr>
          <w:rFonts w:asciiTheme="minorHAnsi" w:hAnsiTheme="minorHAnsi"/>
          <w:noProof/>
          <w:color w:val="auto"/>
          <w:kern w:val="2"/>
          <w:sz w:val="24"/>
          <w:szCs w:val="24"/>
          <w:lang/>
          <w14:ligatures w14:val="standardContextual"/>
        </w:rPr>
      </w:pPr>
      <w:r>
        <w:fldChar w:fldCharType="begin"/>
      </w:r>
      <w:r>
        <w:instrText xml:space="preserve"> TOC \o "1-3" \h \z \u </w:instrText>
      </w:r>
      <w:r>
        <w:fldChar w:fldCharType="separate"/>
      </w:r>
      <w:hyperlink w:anchor="_Toc227587121" w:history="1">
        <w:r w:rsidR="009E4938" w:rsidRPr="000F0647">
          <w:rPr>
            <w:rStyle w:val="Hyperlink"/>
            <w:noProof/>
          </w:rPr>
          <w:t>Table of Contents</w:t>
        </w:r>
        <w:r w:rsidR="009E4938">
          <w:rPr>
            <w:noProof/>
            <w:webHidden/>
          </w:rPr>
          <w:tab/>
        </w:r>
        <w:r w:rsidR="009E4938">
          <w:rPr>
            <w:noProof/>
            <w:webHidden/>
          </w:rPr>
          <w:fldChar w:fldCharType="begin"/>
        </w:r>
        <w:r w:rsidR="009E4938">
          <w:rPr>
            <w:noProof/>
            <w:webHidden/>
          </w:rPr>
          <w:instrText xml:space="preserve"> PAGEREF _Toc227587121 \h </w:instrText>
        </w:r>
        <w:r w:rsidR="009E4938">
          <w:rPr>
            <w:noProof/>
            <w:webHidden/>
          </w:rPr>
        </w:r>
        <w:r w:rsidR="009E4938">
          <w:rPr>
            <w:noProof/>
            <w:webHidden/>
          </w:rPr>
          <w:fldChar w:fldCharType="separate"/>
        </w:r>
        <w:r w:rsidR="009E4938">
          <w:rPr>
            <w:noProof/>
            <w:webHidden/>
          </w:rPr>
          <w:t>2</w:t>
        </w:r>
        <w:r w:rsidR="009E4938">
          <w:rPr>
            <w:noProof/>
            <w:webHidden/>
          </w:rPr>
          <w:fldChar w:fldCharType="end"/>
        </w:r>
      </w:hyperlink>
    </w:p>
    <w:p w14:paraId="14272FE9" w14:textId="406399B9" w:rsidR="009E4938" w:rsidRDefault="009E4938">
      <w:pPr>
        <w:pStyle w:val="TOC1"/>
        <w:tabs>
          <w:tab w:val="right" w:leader="dot" w:pos="9350"/>
        </w:tabs>
        <w:rPr>
          <w:rFonts w:asciiTheme="minorHAnsi" w:hAnsiTheme="minorHAnsi"/>
          <w:noProof/>
          <w:color w:val="auto"/>
          <w:kern w:val="2"/>
          <w:sz w:val="24"/>
          <w:szCs w:val="24"/>
          <w:lang/>
          <w14:ligatures w14:val="standardContextual"/>
        </w:rPr>
      </w:pPr>
      <w:hyperlink w:anchor="_Toc227587122" w:history="1">
        <w:r w:rsidRPr="000F0647">
          <w:rPr>
            <w:rStyle w:val="Hyperlink"/>
            <w:noProof/>
          </w:rPr>
          <w:t>Part I — Purpose and Scope</w:t>
        </w:r>
        <w:r>
          <w:rPr>
            <w:noProof/>
            <w:webHidden/>
          </w:rPr>
          <w:tab/>
        </w:r>
        <w:r>
          <w:rPr>
            <w:noProof/>
            <w:webHidden/>
          </w:rPr>
          <w:fldChar w:fldCharType="begin"/>
        </w:r>
        <w:r>
          <w:rPr>
            <w:noProof/>
            <w:webHidden/>
          </w:rPr>
          <w:instrText xml:space="preserve"> PAGEREF _Toc227587122 \h </w:instrText>
        </w:r>
        <w:r>
          <w:rPr>
            <w:noProof/>
            <w:webHidden/>
          </w:rPr>
        </w:r>
        <w:r>
          <w:rPr>
            <w:noProof/>
            <w:webHidden/>
          </w:rPr>
          <w:fldChar w:fldCharType="separate"/>
        </w:r>
        <w:r>
          <w:rPr>
            <w:noProof/>
            <w:webHidden/>
          </w:rPr>
          <w:t>4</w:t>
        </w:r>
        <w:r>
          <w:rPr>
            <w:noProof/>
            <w:webHidden/>
          </w:rPr>
          <w:fldChar w:fldCharType="end"/>
        </w:r>
      </w:hyperlink>
    </w:p>
    <w:p w14:paraId="3E65CC9F" w14:textId="3DD42E5D"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23" w:history="1">
        <w:r w:rsidRPr="000F0647">
          <w:rPr>
            <w:rStyle w:val="Hyperlink"/>
            <w:noProof/>
          </w:rPr>
          <w:t>Document Structure</w:t>
        </w:r>
        <w:r>
          <w:rPr>
            <w:noProof/>
            <w:webHidden/>
          </w:rPr>
          <w:tab/>
        </w:r>
        <w:r>
          <w:rPr>
            <w:noProof/>
            <w:webHidden/>
          </w:rPr>
          <w:fldChar w:fldCharType="begin"/>
        </w:r>
        <w:r>
          <w:rPr>
            <w:noProof/>
            <w:webHidden/>
          </w:rPr>
          <w:instrText xml:space="preserve"> PAGEREF _Toc227587123 \h </w:instrText>
        </w:r>
        <w:r>
          <w:rPr>
            <w:noProof/>
            <w:webHidden/>
          </w:rPr>
        </w:r>
        <w:r>
          <w:rPr>
            <w:noProof/>
            <w:webHidden/>
          </w:rPr>
          <w:fldChar w:fldCharType="separate"/>
        </w:r>
        <w:r>
          <w:rPr>
            <w:noProof/>
            <w:webHidden/>
          </w:rPr>
          <w:t>5</w:t>
        </w:r>
        <w:r>
          <w:rPr>
            <w:noProof/>
            <w:webHidden/>
          </w:rPr>
          <w:fldChar w:fldCharType="end"/>
        </w:r>
      </w:hyperlink>
    </w:p>
    <w:p w14:paraId="6267B478" w14:textId="7329B8F0" w:rsidR="009E4938" w:rsidRDefault="009E4938">
      <w:pPr>
        <w:pStyle w:val="TOC1"/>
        <w:tabs>
          <w:tab w:val="right" w:leader="dot" w:pos="9350"/>
        </w:tabs>
        <w:rPr>
          <w:rFonts w:asciiTheme="minorHAnsi" w:hAnsiTheme="minorHAnsi"/>
          <w:noProof/>
          <w:color w:val="auto"/>
          <w:kern w:val="2"/>
          <w:sz w:val="24"/>
          <w:szCs w:val="24"/>
          <w:lang/>
          <w14:ligatures w14:val="standardContextual"/>
        </w:rPr>
      </w:pPr>
      <w:hyperlink w:anchor="_Toc227587124" w:history="1">
        <w:r w:rsidRPr="000F0647">
          <w:rPr>
            <w:rStyle w:val="Hyperlink"/>
            <w:noProof/>
          </w:rPr>
          <w:t>Part II — Media Industry</w:t>
        </w:r>
        <w:r>
          <w:rPr>
            <w:noProof/>
            <w:webHidden/>
          </w:rPr>
          <w:tab/>
        </w:r>
        <w:r>
          <w:rPr>
            <w:noProof/>
            <w:webHidden/>
          </w:rPr>
          <w:fldChar w:fldCharType="begin"/>
        </w:r>
        <w:r>
          <w:rPr>
            <w:noProof/>
            <w:webHidden/>
          </w:rPr>
          <w:instrText xml:space="preserve"> PAGEREF _Toc227587124 \h </w:instrText>
        </w:r>
        <w:r>
          <w:rPr>
            <w:noProof/>
            <w:webHidden/>
          </w:rPr>
        </w:r>
        <w:r>
          <w:rPr>
            <w:noProof/>
            <w:webHidden/>
          </w:rPr>
          <w:fldChar w:fldCharType="separate"/>
        </w:r>
        <w:r>
          <w:rPr>
            <w:noProof/>
            <w:webHidden/>
          </w:rPr>
          <w:t>6</w:t>
        </w:r>
        <w:r>
          <w:rPr>
            <w:noProof/>
            <w:webHidden/>
          </w:rPr>
          <w:fldChar w:fldCharType="end"/>
        </w:r>
      </w:hyperlink>
    </w:p>
    <w:p w14:paraId="3F834F16" w14:textId="4034AC25"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25" w:history="1">
        <w:r w:rsidRPr="000F0647">
          <w:rPr>
            <w:rStyle w:val="Hyperlink"/>
            <w:noProof/>
          </w:rPr>
          <w:t>II.1 Industry Context: Why ADAM for Media</w:t>
        </w:r>
        <w:r>
          <w:rPr>
            <w:noProof/>
            <w:webHidden/>
          </w:rPr>
          <w:tab/>
        </w:r>
        <w:r>
          <w:rPr>
            <w:noProof/>
            <w:webHidden/>
          </w:rPr>
          <w:fldChar w:fldCharType="begin"/>
        </w:r>
        <w:r>
          <w:rPr>
            <w:noProof/>
            <w:webHidden/>
          </w:rPr>
          <w:instrText xml:space="preserve"> PAGEREF _Toc227587125 \h </w:instrText>
        </w:r>
        <w:r>
          <w:rPr>
            <w:noProof/>
            <w:webHidden/>
          </w:rPr>
        </w:r>
        <w:r>
          <w:rPr>
            <w:noProof/>
            <w:webHidden/>
          </w:rPr>
          <w:fldChar w:fldCharType="separate"/>
        </w:r>
        <w:r>
          <w:rPr>
            <w:noProof/>
            <w:webHidden/>
          </w:rPr>
          <w:t>6</w:t>
        </w:r>
        <w:r>
          <w:rPr>
            <w:noProof/>
            <w:webHidden/>
          </w:rPr>
          <w:fldChar w:fldCharType="end"/>
        </w:r>
      </w:hyperlink>
    </w:p>
    <w:p w14:paraId="2B7DE39F" w14:textId="49219B19"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26" w:history="1">
        <w:r w:rsidRPr="000F0647">
          <w:rPr>
            <w:rStyle w:val="Hyperlink"/>
            <w:noProof/>
          </w:rPr>
          <w:t>II.2 Media Industry Agent Inventory</w:t>
        </w:r>
        <w:r>
          <w:rPr>
            <w:noProof/>
            <w:webHidden/>
          </w:rPr>
          <w:tab/>
        </w:r>
        <w:r>
          <w:rPr>
            <w:noProof/>
            <w:webHidden/>
          </w:rPr>
          <w:fldChar w:fldCharType="begin"/>
        </w:r>
        <w:r>
          <w:rPr>
            <w:noProof/>
            <w:webHidden/>
          </w:rPr>
          <w:instrText xml:space="preserve"> PAGEREF _Toc227587126 \h </w:instrText>
        </w:r>
        <w:r>
          <w:rPr>
            <w:noProof/>
            <w:webHidden/>
          </w:rPr>
        </w:r>
        <w:r>
          <w:rPr>
            <w:noProof/>
            <w:webHidden/>
          </w:rPr>
          <w:fldChar w:fldCharType="separate"/>
        </w:r>
        <w:r>
          <w:rPr>
            <w:noProof/>
            <w:webHidden/>
          </w:rPr>
          <w:t>7</w:t>
        </w:r>
        <w:r>
          <w:rPr>
            <w:noProof/>
            <w:webHidden/>
          </w:rPr>
          <w:fldChar w:fldCharType="end"/>
        </w:r>
      </w:hyperlink>
    </w:p>
    <w:p w14:paraId="1792226E" w14:textId="4936DC46"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27" w:history="1">
        <w:r w:rsidRPr="000F0647">
          <w:rPr>
            <w:rStyle w:val="Hyperlink"/>
            <w:noProof/>
          </w:rPr>
          <w:t>II.3 Major Media Services Enabling Holistic ADAM Operation</w:t>
        </w:r>
        <w:r>
          <w:rPr>
            <w:noProof/>
            <w:webHidden/>
          </w:rPr>
          <w:tab/>
        </w:r>
        <w:r>
          <w:rPr>
            <w:noProof/>
            <w:webHidden/>
          </w:rPr>
          <w:fldChar w:fldCharType="begin"/>
        </w:r>
        <w:r>
          <w:rPr>
            <w:noProof/>
            <w:webHidden/>
          </w:rPr>
          <w:instrText xml:space="preserve"> PAGEREF _Toc227587127 \h </w:instrText>
        </w:r>
        <w:r>
          <w:rPr>
            <w:noProof/>
            <w:webHidden/>
          </w:rPr>
        </w:r>
        <w:r>
          <w:rPr>
            <w:noProof/>
            <w:webHidden/>
          </w:rPr>
          <w:fldChar w:fldCharType="separate"/>
        </w:r>
        <w:r>
          <w:rPr>
            <w:noProof/>
            <w:webHidden/>
          </w:rPr>
          <w:t>10</w:t>
        </w:r>
        <w:r>
          <w:rPr>
            <w:noProof/>
            <w:webHidden/>
          </w:rPr>
          <w:fldChar w:fldCharType="end"/>
        </w:r>
      </w:hyperlink>
    </w:p>
    <w:p w14:paraId="5C3F9D5E" w14:textId="09BE2275"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28" w:history="1">
        <w:r w:rsidRPr="000F0647">
          <w:rPr>
            <w:rStyle w:val="Hyperlink"/>
            <w:noProof/>
          </w:rPr>
          <w:t>II.4 Media Architecture Differences from Core ADAM</w:t>
        </w:r>
        <w:r>
          <w:rPr>
            <w:noProof/>
            <w:webHidden/>
          </w:rPr>
          <w:tab/>
        </w:r>
        <w:r>
          <w:rPr>
            <w:noProof/>
            <w:webHidden/>
          </w:rPr>
          <w:fldChar w:fldCharType="begin"/>
        </w:r>
        <w:r>
          <w:rPr>
            <w:noProof/>
            <w:webHidden/>
          </w:rPr>
          <w:instrText xml:space="preserve"> PAGEREF _Toc227587128 \h </w:instrText>
        </w:r>
        <w:r>
          <w:rPr>
            <w:noProof/>
            <w:webHidden/>
          </w:rPr>
        </w:r>
        <w:r>
          <w:rPr>
            <w:noProof/>
            <w:webHidden/>
          </w:rPr>
          <w:fldChar w:fldCharType="separate"/>
        </w:r>
        <w:r>
          <w:rPr>
            <w:noProof/>
            <w:webHidden/>
          </w:rPr>
          <w:t>12</w:t>
        </w:r>
        <w:r>
          <w:rPr>
            <w:noProof/>
            <w:webHidden/>
          </w:rPr>
          <w:fldChar w:fldCharType="end"/>
        </w:r>
      </w:hyperlink>
    </w:p>
    <w:p w14:paraId="0F84FCF6" w14:textId="56B9DFB0"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29" w:history="1">
        <w:r w:rsidRPr="000F0647">
          <w:rPr>
            <w:rStyle w:val="Hyperlink"/>
            <w:noProof/>
          </w:rPr>
          <w:t>II.5 Media Security Differences and AGT Integration</w:t>
        </w:r>
        <w:r>
          <w:rPr>
            <w:noProof/>
            <w:webHidden/>
          </w:rPr>
          <w:tab/>
        </w:r>
        <w:r>
          <w:rPr>
            <w:noProof/>
            <w:webHidden/>
          </w:rPr>
          <w:fldChar w:fldCharType="begin"/>
        </w:r>
        <w:r>
          <w:rPr>
            <w:noProof/>
            <w:webHidden/>
          </w:rPr>
          <w:instrText xml:space="preserve"> PAGEREF _Toc227587129 \h </w:instrText>
        </w:r>
        <w:r>
          <w:rPr>
            <w:noProof/>
            <w:webHidden/>
          </w:rPr>
        </w:r>
        <w:r>
          <w:rPr>
            <w:noProof/>
            <w:webHidden/>
          </w:rPr>
          <w:fldChar w:fldCharType="separate"/>
        </w:r>
        <w:r>
          <w:rPr>
            <w:noProof/>
            <w:webHidden/>
          </w:rPr>
          <w:t>13</w:t>
        </w:r>
        <w:r>
          <w:rPr>
            <w:noProof/>
            <w:webHidden/>
          </w:rPr>
          <w:fldChar w:fldCharType="end"/>
        </w:r>
      </w:hyperlink>
    </w:p>
    <w:p w14:paraId="7BE92CB9" w14:textId="00AC6ADA"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30" w:history="1">
        <w:r w:rsidRPr="000F0647">
          <w:rPr>
            <w:rStyle w:val="Hyperlink"/>
            <w:noProof/>
          </w:rPr>
          <w:t>II.6 TM Forum Conformance and Mapping</w:t>
        </w:r>
        <w:r>
          <w:rPr>
            <w:noProof/>
            <w:webHidden/>
          </w:rPr>
          <w:tab/>
        </w:r>
        <w:r>
          <w:rPr>
            <w:noProof/>
            <w:webHidden/>
          </w:rPr>
          <w:fldChar w:fldCharType="begin"/>
        </w:r>
        <w:r>
          <w:rPr>
            <w:noProof/>
            <w:webHidden/>
          </w:rPr>
          <w:instrText xml:space="preserve"> PAGEREF _Toc227587130 \h </w:instrText>
        </w:r>
        <w:r>
          <w:rPr>
            <w:noProof/>
            <w:webHidden/>
          </w:rPr>
        </w:r>
        <w:r>
          <w:rPr>
            <w:noProof/>
            <w:webHidden/>
          </w:rPr>
          <w:fldChar w:fldCharType="separate"/>
        </w:r>
        <w:r>
          <w:rPr>
            <w:noProof/>
            <w:webHidden/>
          </w:rPr>
          <w:t>14</w:t>
        </w:r>
        <w:r>
          <w:rPr>
            <w:noProof/>
            <w:webHidden/>
          </w:rPr>
          <w:fldChar w:fldCharType="end"/>
        </w:r>
      </w:hyperlink>
    </w:p>
    <w:p w14:paraId="3B65C0B9" w14:textId="1F1FCDAF" w:rsidR="009E4938" w:rsidRDefault="009E4938">
      <w:pPr>
        <w:pStyle w:val="TOC3"/>
        <w:tabs>
          <w:tab w:val="right" w:leader="dot" w:pos="9350"/>
        </w:tabs>
        <w:rPr>
          <w:rFonts w:asciiTheme="minorHAnsi" w:hAnsiTheme="minorHAnsi"/>
          <w:noProof/>
          <w:color w:val="auto"/>
          <w:kern w:val="2"/>
          <w:sz w:val="24"/>
          <w:szCs w:val="24"/>
          <w:lang/>
          <w14:ligatures w14:val="standardContextual"/>
        </w:rPr>
      </w:pPr>
      <w:hyperlink w:anchor="_Toc227587131" w:history="1">
        <w:r w:rsidRPr="000F0647">
          <w:rPr>
            <w:rStyle w:val="Hyperlink"/>
            <w:noProof/>
          </w:rPr>
          <w:t>TM Forum Open API Consumption</w:t>
        </w:r>
        <w:r>
          <w:rPr>
            <w:noProof/>
            <w:webHidden/>
          </w:rPr>
          <w:tab/>
        </w:r>
        <w:r>
          <w:rPr>
            <w:noProof/>
            <w:webHidden/>
          </w:rPr>
          <w:fldChar w:fldCharType="begin"/>
        </w:r>
        <w:r>
          <w:rPr>
            <w:noProof/>
            <w:webHidden/>
          </w:rPr>
          <w:instrText xml:space="preserve"> PAGEREF _Toc227587131 \h </w:instrText>
        </w:r>
        <w:r>
          <w:rPr>
            <w:noProof/>
            <w:webHidden/>
          </w:rPr>
        </w:r>
        <w:r>
          <w:rPr>
            <w:noProof/>
            <w:webHidden/>
          </w:rPr>
          <w:fldChar w:fldCharType="separate"/>
        </w:r>
        <w:r>
          <w:rPr>
            <w:noProof/>
            <w:webHidden/>
          </w:rPr>
          <w:t>15</w:t>
        </w:r>
        <w:r>
          <w:rPr>
            <w:noProof/>
            <w:webHidden/>
          </w:rPr>
          <w:fldChar w:fldCharType="end"/>
        </w:r>
      </w:hyperlink>
    </w:p>
    <w:p w14:paraId="499F5B70" w14:textId="2015EB57" w:rsidR="009E4938" w:rsidRDefault="009E4938">
      <w:pPr>
        <w:pStyle w:val="TOC3"/>
        <w:tabs>
          <w:tab w:val="right" w:leader="dot" w:pos="9350"/>
        </w:tabs>
        <w:rPr>
          <w:rFonts w:asciiTheme="minorHAnsi" w:hAnsiTheme="minorHAnsi"/>
          <w:noProof/>
          <w:color w:val="auto"/>
          <w:kern w:val="2"/>
          <w:sz w:val="24"/>
          <w:szCs w:val="24"/>
          <w:lang/>
          <w14:ligatures w14:val="standardContextual"/>
        </w:rPr>
      </w:pPr>
      <w:hyperlink w:anchor="_Toc227587132" w:history="1">
        <w:r w:rsidRPr="000F0647">
          <w:rPr>
            <w:rStyle w:val="Hyperlink"/>
            <w:noProof/>
          </w:rPr>
          <w:t>TM Forum Autonomous Networks Alignment</w:t>
        </w:r>
        <w:r>
          <w:rPr>
            <w:noProof/>
            <w:webHidden/>
          </w:rPr>
          <w:tab/>
        </w:r>
        <w:r>
          <w:rPr>
            <w:noProof/>
            <w:webHidden/>
          </w:rPr>
          <w:fldChar w:fldCharType="begin"/>
        </w:r>
        <w:r>
          <w:rPr>
            <w:noProof/>
            <w:webHidden/>
          </w:rPr>
          <w:instrText xml:space="preserve"> PAGEREF _Toc227587132 \h </w:instrText>
        </w:r>
        <w:r>
          <w:rPr>
            <w:noProof/>
            <w:webHidden/>
          </w:rPr>
        </w:r>
        <w:r>
          <w:rPr>
            <w:noProof/>
            <w:webHidden/>
          </w:rPr>
          <w:fldChar w:fldCharType="separate"/>
        </w:r>
        <w:r>
          <w:rPr>
            <w:noProof/>
            <w:webHidden/>
          </w:rPr>
          <w:t>16</w:t>
        </w:r>
        <w:r>
          <w:rPr>
            <w:noProof/>
            <w:webHidden/>
          </w:rPr>
          <w:fldChar w:fldCharType="end"/>
        </w:r>
      </w:hyperlink>
    </w:p>
    <w:p w14:paraId="0183B68D" w14:textId="7D50FF16"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33" w:history="1">
        <w:r w:rsidRPr="000F0647">
          <w:rPr>
            <w:rStyle w:val="Hyperlink"/>
            <w:noProof/>
          </w:rPr>
          <w:t>II.7 Additional Media Industry Standards</w:t>
        </w:r>
        <w:r>
          <w:rPr>
            <w:noProof/>
            <w:webHidden/>
          </w:rPr>
          <w:tab/>
        </w:r>
        <w:r>
          <w:rPr>
            <w:noProof/>
            <w:webHidden/>
          </w:rPr>
          <w:fldChar w:fldCharType="begin"/>
        </w:r>
        <w:r>
          <w:rPr>
            <w:noProof/>
            <w:webHidden/>
          </w:rPr>
          <w:instrText xml:space="preserve"> PAGEREF _Toc227587133 \h </w:instrText>
        </w:r>
        <w:r>
          <w:rPr>
            <w:noProof/>
            <w:webHidden/>
          </w:rPr>
        </w:r>
        <w:r>
          <w:rPr>
            <w:noProof/>
            <w:webHidden/>
          </w:rPr>
          <w:fldChar w:fldCharType="separate"/>
        </w:r>
        <w:r>
          <w:rPr>
            <w:noProof/>
            <w:webHidden/>
          </w:rPr>
          <w:t>16</w:t>
        </w:r>
        <w:r>
          <w:rPr>
            <w:noProof/>
            <w:webHidden/>
          </w:rPr>
          <w:fldChar w:fldCharType="end"/>
        </w:r>
      </w:hyperlink>
    </w:p>
    <w:p w14:paraId="34FEF10D" w14:textId="4C9EE8DC"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34" w:history="1">
        <w:r w:rsidRPr="000F0647">
          <w:rPr>
            <w:rStyle w:val="Hyperlink"/>
            <w:noProof/>
          </w:rPr>
          <w:t>II.8 Media BOSS Score Customization</w:t>
        </w:r>
        <w:r>
          <w:rPr>
            <w:noProof/>
            <w:webHidden/>
          </w:rPr>
          <w:tab/>
        </w:r>
        <w:r>
          <w:rPr>
            <w:noProof/>
            <w:webHidden/>
          </w:rPr>
          <w:fldChar w:fldCharType="begin"/>
        </w:r>
        <w:r>
          <w:rPr>
            <w:noProof/>
            <w:webHidden/>
          </w:rPr>
          <w:instrText xml:space="preserve"> PAGEREF _Toc227587134 \h </w:instrText>
        </w:r>
        <w:r>
          <w:rPr>
            <w:noProof/>
            <w:webHidden/>
          </w:rPr>
        </w:r>
        <w:r>
          <w:rPr>
            <w:noProof/>
            <w:webHidden/>
          </w:rPr>
          <w:fldChar w:fldCharType="separate"/>
        </w:r>
        <w:r>
          <w:rPr>
            <w:noProof/>
            <w:webHidden/>
          </w:rPr>
          <w:t>17</w:t>
        </w:r>
        <w:r>
          <w:rPr>
            <w:noProof/>
            <w:webHidden/>
          </w:rPr>
          <w:fldChar w:fldCharType="end"/>
        </w:r>
      </w:hyperlink>
    </w:p>
    <w:p w14:paraId="3372518C" w14:textId="5A84F824" w:rsidR="009E4938" w:rsidRDefault="009E4938">
      <w:pPr>
        <w:pStyle w:val="TOC1"/>
        <w:tabs>
          <w:tab w:val="right" w:leader="dot" w:pos="9350"/>
        </w:tabs>
        <w:rPr>
          <w:rFonts w:asciiTheme="minorHAnsi" w:hAnsiTheme="minorHAnsi"/>
          <w:noProof/>
          <w:color w:val="auto"/>
          <w:kern w:val="2"/>
          <w:sz w:val="24"/>
          <w:szCs w:val="24"/>
          <w:lang/>
          <w14:ligatures w14:val="standardContextual"/>
        </w:rPr>
      </w:pPr>
      <w:hyperlink w:anchor="_Toc227587135" w:history="1">
        <w:r w:rsidRPr="000F0647">
          <w:rPr>
            <w:rStyle w:val="Hyperlink"/>
            <w:noProof/>
          </w:rPr>
          <w:t>Part III — Healthcare &amp; Life Sciences</w:t>
        </w:r>
        <w:r>
          <w:rPr>
            <w:noProof/>
            <w:webHidden/>
          </w:rPr>
          <w:tab/>
        </w:r>
        <w:r>
          <w:rPr>
            <w:noProof/>
            <w:webHidden/>
          </w:rPr>
          <w:fldChar w:fldCharType="begin"/>
        </w:r>
        <w:r>
          <w:rPr>
            <w:noProof/>
            <w:webHidden/>
          </w:rPr>
          <w:instrText xml:space="preserve"> PAGEREF _Toc227587135 \h </w:instrText>
        </w:r>
        <w:r>
          <w:rPr>
            <w:noProof/>
            <w:webHidden/>
          </w:rPr>
        </w:r>
        <w:r>
          <w:rPr>
            <w:noProof/>
            <w:webHidden/>
          </w:rPr>
          <w:fldChar w:fldCharType="separate"/>
        </w:r>
        <w:r>
          <w:rPr>
            <w:noProof/>
            <w:webHidden/>
          </w:rPr>
          <w:t>19</w:t>
        </w:r>
        <w:r>
          <w:rPr>
            <w:noProof/>
            <w:webHidden/>
          </w:rPr>
          <w:fldChar w:fldCharType="end"/>
        </w:r>
      </w:hyperlink>
    </w:p>
    <w:p w14:paraId="43AF3453" w14:textId="6ABCEFF7"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36" w:history="1">
        <w:r w:rsidRPr="000F0647">
          <w:rPr>
            <w:rStyle w:val="Hyperlink"/>
            <w:noProof/>
          </w:rPr>
          <w:t>III.1 Industry Context: Why ADAM for Healthcare</w:t>
        </w:r>
        <w:r>
          <w:rPr>
            <w:noProof/>
            <w:webHidden/>
          </w:rPr>
          <w:tab/>
        </w:r>
        <w:r>
          <w:rPr>
            <w:noProof/>
            <w:webHidden/>
          </w:rPr>
          <w:fldChar w:fldCharType="begin"/>
        </w:r>
        <w:r>
          <w:rPr>
            <w:noProof/>
            <w:webHidden/>
          </w:rPr>
          <w:instrText xml:space="preserve"> PAGEREF _Toc227587136 \h </w:instrText>
        </w:r>
        <w:r>
          <w:rPr>
            <w:noProof/>
            <w:webHidden/>
          </w:rPr>
        </w:r>
        <w:r>
          <w:rPr>
            <w:noProof/>
            <w:webHidden/>
          </w:rPr>
          <w:fldChar w:fldCharType="separate"/>
        </w:r>
        <w:r>
          <w:rPr>
            <w:noProof/>
            <w:webHidden/>
          </w:rPr>
          <w:t>19</w:t>
        </w:r>
        <w:r>
          <w:rPr>
            <w:noProof/>
            <w:webHidden/>
          </w:rPr>
          <w:fldChar w:fldCharType="end"/>
        </w:r>
      </w:hyperlink>
    </w:p>
    <w:p w14:paraId="337728C9" w14:textId="0125E834"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37" w:history="1">
        <w:r w:rsidRPr="000F0647">
          <w:rPr>
            <w:rStyle w:val="Hyperlink"/>
            <w:noProof/>
          </w:rPr>
          <w:t>III.2 Healthcare Industry Agent Inventory</w:t>
        </w:r>
        <w:r>
          <w:rPr>
            <w:noProof/>
            <w:webHidden/>
          </w:rPr>
          <w:tab/>
        </w:r>
        <w:r>
          <w:rPr>
            <w:noProof/>
            <w:webHidden/>
          </w:rPr>
          <w:fldChar w:fldCharType="begin"/>
        </w:r>
        <w:r>
          <w:rPr>
            <w:noProof/>
            <w:webHidden/>
          </w:rPr>
          <w:instrText xml:space="preserve"> PAGEREF _Toc227587137 \h </w:instrText>
        </w:r>
        <w:r>
          <w:rPr>
            <w:noProof/>
            <w:webHidden/>
          </w:rPr>
        </w:r>
        <w:r>
          <w:rPr>
            <w:noProof/>
            <w:webHidden/>
          </w:rPr>
          <w:fldChar w:fldCharType="separate"/>
        </w:r>
        <w:r>
          <w:rPr>
            <w:noProof/>
            <w:webHidden/>
          </w:rPr>
          <w:t>20</w:t>
        </w:r>
        <w:r>
          <w:rPr>
            <w:noProof/>
            <w:webHidden/>
          </w:rPr>
          <w:fldChar w:fldCharType="end"/>
        </w:r>
      </w:hyperlink>
    </w:p>
    <w:p w14:paraId="7D6473E4" w14:textId="771DD7E3"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38" w:history="1">
        <w:r w:rsidRPr="000F0647">
          <w:rPr>
            <w:rStyle w:val="Hyperlink"/>
            <w:noProof/>
          </w:rPr>
          <w:t>III.3 Major Healthcare Services Enabling Holistic ADAM Operation</w:t>
        </w:r>
        <w:r>
          <w:rPr>
            <w:noProof/>
            <w:webHidden/>
          </w:rPr>
          <w:tab/>
        </w:r>
        <w:r>
          <w:rPr>
            <w:noProof/>
            <w:webHidden/>
          </w:rPr>
          <w:fldChar w:fldCharType="begin"/>
        </w:r>
        <w:r>
          <w:rPr>
            <w:noProof/>
            <w:webHidden/>
          </w:rPr>
          <w:instrText xml:space="preserve"> PAGEREF _Toc227587138 \h </w:instrText>
        </w:r>
        <w:r>
          <w:rPr>
            <w:noProof/>
            <w:webHidden/>
          </w:rPr>
        </w:r>
        <w:r>
          <w:rPr>
            <w:noProof/>
            <w:webHidden/>
          </w:rPr>
          <w:fldChar w:fldCharType="separate"/>
        </w:r>
        <w:r>
          <w:rPr>
            <w:noProof/>
            <w:webHidden/>
          </w:rPr>
          <w:t>24</w:t>
        </w:r>
        <w:r>
          <w:rPr>
            <w:noProof/>
            <w:webHidden/>
          </w:rPr>
          <w:fldChar w:fldCharType="end"/>
        </w:r>
      </w:hyperlink>
    </w:p>
    <w:p w14:paraId="11BEFFF8" w14:textId="6D05C473"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39" w:history="1">
        <w:r w:rsidRPr="000F0647">
          <w:rPr>
            <w:rStyle w:val="Hyperlink"/>
            <w:noProof/>
          </w:rPr>
          <w:t>III.4 Healthcare Architecture Differences from Core ADAM</w:t>
        </w:r>
        <w:r>
          <w:rPr>
            <w:noProof/>
            <w:webHidden/>
          </w:rPr>
          <w:tab/>
        </w:r>
        <w:r>
          <w:rPr>
            <w:noProof/>
            <w:webHidden/>
          </w:rPr>
          <w:fldChar w:fldCharType="begin"/>
        </w:r>
        <w:r>
          <w:rPr>
            <w:noProof/>
            <w:webHidden/>
          </w:rPr>
          <w:instrText xml:space="preserve"> PAGEREF _Toc227587139 \h </w:instrText>
        </w:r>
        <w:r>
          <w:rPr>
            <w:noProof/>
            <w:webHidden/>
          </w:rPr>
        </w:r>
        <w:r>
          <w:rPr>
            <w:noProof/>
            <w:webHidden/>
          </w:rPr>
          <w:fldChar w:fldCharType="separate"/>
        </w:r>
        <w:r>
          <w:rPr>
            <w:noProof/>
            <w:webHidden/>
          </w:rPr>
          <w:t>25</w:t>
        </w:r>
        <w:r>
          <w:rPr>
            <w:noProof/>
            <w:webHidden/>
          </w:rPr>
          <w:fldChar w:fldCharType="end"/>
        </w:r>
      </w:hyperlink>
    </w:p>
    <w:p w14:paraId="676E9699" w14:textId="0881297D"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40" w:history="1">
        <w:r w:rsidRPr="000F0647">
          <w:rPr>
            <w:rStyle w:val="Hyperlink"/>
            <w:noProof/>
          </w:rPr>
          <w:t>III.5 Healthcare Security: AGT Integration and Quantum Readiness</w:t>
        </w:r>
        <w:r>
          <w:rPr>
            <w:noProof/>
            <w:webHidden/>
          </w:rPr>
          <w:tab/>
        </w:r>
        <w:r>
          <w:rPr>
            <w:noProof/>
            <w:webHidden/>
          </w:rPr>
          <w:fldChar w:fldCharType="begin"/>
        </w:r>
        <w:r>
          <w:rPr>
            <w:noProof/>
            <w:webHidden/>
          </w:rPr>
          <w:instrText xml:space="preserve"> PAGEREF _Toc227587140 \h </w:instrText>
        </w:r>
        <w:r>
          <w:rPr>
            <w:noProof/>
            <w:webHidden/>
          </w:rPr>
        </w:r>
        <w:r>
          <w:rPr>
            <w:noProof/>
            <w:webHidden/>
          </w:rPr>
          <w:fldChar w:fldCharType="separate"/>
        </w:r>
        <w:r>
          <w:rPr>
            <w:noProof/>
            <w:webHidden/>
          </w:rPr>
          <w:t>27</w:t>
        </w:r>
        <w:r>
          <w:rPr>
            <w:noProof/>
            <w:webHidden/>
          </w:rPr>
          <w:fldChar w:fldCharType="end"/>
        </w:r>
      </w:hyperlink>
    </w:p>
    <w:p w14:paraId="18944CB1" w14:textId="417C078A"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41" w:history="1">
        <w:r w:rsidRPr="000F0647">
          <w:rPr>
            <w:rStyle w:val="Hyperlink"/>
            <w:noProof/>
          </w:rPr>
          <w:t>III.6 Healthcare Competing Frameworks and ADAM’s Position</w:t>
        </w:r>
        <w:r>
          <w:rPr>
            <w:noProof/>
            <w:webHidden/>
          </w:rPr>
          <w:tab/>
        </w:r>
        <w:r>
          <w:rPr>
            <w:noProof/>
            <w:webHidden/>
          </w:rPr>
          <w:fldChar w:fldCharType="begin"/>
        </w:r>
        <w:r>
          <w:rPr>
            <w:noProof/>
            <w:webHidden/>
          </w:rPr>
          <w:instrText xml:space="preserve"> PAGEREF _Toc227587141 \h </w:instrText>
        </w:r>
        <w:r>
          <w:rPr>
            <w:noProof/>
            <w:webHidden/>
          </w:rPr>
        </w:r>
        <w:r>
          <w:rPr>
            <w:noProof/>
            <w:webHidden/>
          </w:rPr>
          <w:fldChar w:fldCharType="separate"/>
        </w:r>
        <w:r>
          <w:rPr>
            <w:noProof/>
            <w:webHidden/>
          </w:rPr>
          <w:t>28</w:t>
        </w:r>
        <w:r>
          <w:rPr>
            <w:noProof/>
            <w:webHidden/>
          </w:rPr>
          <w:fldChar w:fldCharType="end"/>
        </w:r>
      </w:hyperlink>
    </w:p>
    <w:p w14:paraId="0C4EE55D" w14:textId="253E88E6"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42" w:history="1">
        <w:r w:rsidRPr="000F0647">
          <w:rPr>
            <w:rStyle w:val="Hyperlink"/>
            <w:noProof/>
          </w:rPr>
          <w:t>III.7 Healthcare BOSS Score Customization</w:t>
        </w:r>
        <w:r>
          <w:rPr>
            <w:noProof/>
            <w:webHidden/>
          </w:rPr>
          <w:tab/>
        </w:r>
        <w:r>
          <w:rPr>
            <w:noProof/>
            <w:webHidden/>
          </w:rPr>
          <w:fldChar w:fldCharType="begin"/>
        </w:r>
        <w:r>
          <w:rPr>
            <w:noProof/>
            <w:webHidden/>
          </w:rPr>
          <w:instrText xml:space="preserve"> PAGEREF _Toc227587142 \h </w:instrText>
        </w:r>
        <w:r>
          <w:rPr>
            <w:noProof/>
            <w:webHidden/>
          </w:rPr>
        </w:r>
        <w:r>
          <w:rPr>
            <w:noProof/>
            <w:webHidden/>
          </w:rPr>
          <w:fldChar w:fldCharType="separate"/>
        </w:r>
        <w:r>
          <w:rPr>
            <w:noProof/>
            <w:webHidden/>
          </w:rPr>
          <w:t>29</w:t>
        </w:r>
        <w:r>
          <w:rPr>
            <w:noProof/>
            <w:webHidden/>
          </w:rPr>
          <w:fldChar w:fldCharType="end"/>
        </w:r>
      </w:hyperlink>
    </w:p>
    <w:p w14:paraId="49C1EA11" w14:textId="5DD0F788" w:rsidR="009E4938" w:rsidRDefault="009E4938">
      <w:pPr>
        <w:pStyle w:val="TOC1"/>
        <w:tabs>
          <w:tab w:val="right" w:leader="dot" w:pos="9350"/>
        </w:tabs>
        <w:rPr>
          <w:rFonts w:asciiTheme="minorHAnsi" w:hAnsiTheme="minorHAnsi"/>
          <w:noProof/>
          <w:color w:val="auto"/>
          <w:kern w:val="2"/>
          <w:sz w:val="24"/>
          <w:szCs w:val="24"/>
          <w:lang/>
          <w14:ligatures w14:val="standardContextual"/>
        </w:rPr>
      </w:pPr>
      <w:hyperlink w:anchor="_Toc227587143" w:history="1">
        <w:r w:rsidRPr="000F0647">
          <w:rPr>
            <w:rStyle w:val="Hyperlink"/>
            <w:noProof/>
          </w:rPr>
          <w:t>Part IV — Manufacturing</w:t>
        </w:r>
        <w:r>
          <w:rPr>
            <w:noProof/>
            <w:webHidden/>
          </w:rPr>
          <w:tab/>
        </w:r>
        <w:r>
          <w:rPr>
            <w:noProof/>
            <w:webHidden/>
          </w:rPr>
          <w:fldChar w:fldCharType="begin"/>
        </w:r>
        <w:r>
          <w:rPr>
            <w:noProof/>
            <w:webHidden/>
          </w:rPr>
          <w:instrText xml:space="preserve"> PAGEREF _Toc227587143 \h </w:instrText>
        </w:r>
        <w:r>
          <w:rPr>
            <w:noProof/>
            <w:webHidden/>
          </w:rPr>
        </w:r>
        <w:r>
          <w:rPr>
            <w:noProof/>
            <w:webHidden/>
          </w:rPr>
          <w:fldChar w:fldCharType="separate"/>
        </w:r>
        <w:r>
          <w:rPr>
            <w:noProof/>
            <w:webHidden/>
          </w:rPr>
          <w:t>31</w:t>
        </w:r>
        <w:r>
          <w:rPr>
            <w:noProof/>
            <w:webHidden/>
          </w:rPr>
          <w:fldChar w:fldCharType="end"/>
        </w:r>
      </w:hyperlink>
    </w:p>
    <w:p w14:paraId="2F3D5A61" w14:textId="1F4BCA0F"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44" w:history="1">
        <w:r w:rsidRPr="000F0647">
          <w:rPr>
            <w:rStyle w:val="Hyperlink"/>
            <w:noProof/>
          </w:rPr>
          <w:t>IV.1 Industry Context: Why ADAM for Manufacturing</w:t>
        </w:r>
        <w:r>
          <w:rPr>
            <w:noProof/>
            <w:webHidden/>
          </w:rPr>
          <w:tab/>
        </w:r>
        <w:r>
          <w:rPr>
            <w:noProof/>
            <w:webHidden/>
          </w:rPr>
          <w:fldChar w:fldCharType="begin"/>
        </w:r>
        <w:r>
          <w:rPr>
            <w:noProof/>
            <w:webHidden/>
          </w:rPr>
          <w:instrText xml:space="preserve"> PAGEREF _Toc227587144 \h </w:instrText>
        </w:r>
        <w:r>
          <w:rPr>
            <w:noProof/>
            <w:webHidden/>
          </w:rPr>
        </w:r>
        <w:r>
          <w:rPr>
            <w:noProof/>
            <w:webHidden/>
          </w:rPr>
          <w:fldChar w:fldCharType="separate"/>
        </w:r>
        <w:r>
          <w:rPr>
            <w:noProof/>
            <w:webHidden/>
          </w:rPr>
          <w:t>31</w:t>
        </w:r>
        <w:r>
          <w:rPr>
            <w:noProof/>
            <w:webHidden/>
          </w:rPr>
          <w:fldChar w:fldCharType="end"/>
        </w:r>
      </w:hyperlink>
    </w:p>
    <w:p w14:paraId="5FC10AA9" w14:textId="65E2C61C"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45" w:history="1">
        <w:r w:rsidRPr="000F0647">
          <w:rPr>
            <w:rStyle w:val="Hyperlink"/>
            <w:noProof/>
          </w:rPr>
          <w:t>IV.2 Manufacturing Industry Agent Inventory</w:t>
        </w:r>
        <w:r>
          <w:rPr>
            <w:noProof/>
            <w:webHidden/>
          </w:rPr>
          <w:tab/>
        </w:r>
        <w:r>
          <w:rPr>
            <w:noProof/>
            <w:webHidden/>
          </w:rPr>
          <w:fldChar w:fldCharType="begin"/>
        </w:r>
        <w:r>
          <w:rPr>
            <w:noProof/>
            <w:webHidden/>
          </w:rPr>
          <w:instrText xml:space="preserve"> PAGEREF _Toc227587145 \h </w:instrText>
        </w:r>
        <w:r>
          <w:rPr>
            <w:noProof/>
            <w:webHidden/>
          </w:rPr>
        </w:r>
        <w:r>
          <w:rPr>
            <w:noProof/>
            <w:webHidden/>
          </w:rPr>
          <w:fldChar w:fldCharType="separate"/>
        </w:r>
        <w:r>
          <w:rPr>
            <w:noProof/>
            <w:webHidden/>
          </w:rPr>
          <w:t>32</w:t>
        </w:r>
        <w:r>
          <w:rPr>
            <w:noProof/>
            <w:webHidden/>
          </w:rPr>
          <w:fldChar w:fldCharType="end"/>
        </w:r>
      </w:hyperlink>
    </w:p>
    <w:p w14:paraId="0BC2E3EB" w14:textId="210DAB0D"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46" w:history="1">
        <w:r w:rsidRPr="000F0647">
          <w:rPr>
            <w:rStyle w:val="Hyperlink"/>
            <w:noProof/>
          </w:rPr>
          <w:t>IV.3 Major Manufacturing Services Enabling Holistic ADAM Operation</w:t>
        </w:r>
        <w:r>
          <w:rPr>
            <w:noProof/>
            <w:webHidden/>
          </w:rPr>
          <w:tab/>
        </w:r>
        <w:r>
          <w:rPr>
            <w:noProof/>
            <w:webHidden/>
          </w:rPr>
          <w:fldChar w:fldCharType="begin"/>
        </w:r>
        <w:r>
          <w:rPr>
            <w:noProof/>
            <w:webHidden/>
          </w:rPr>
          <w:instrText xml:space="preserve"> PAGEREF _Toc227587146 \h </w:instrText>
        </w:r>
        <w:r>
          <w:rPr>
            <w:noProof/>
            <w:webHidden/>
          </w:rPr>
        </w:r>
        <w:r>
          <w:rPr>
            <w:noProof/>
            <w:webHidden/>
          </w:rPr>
          <w:fldChar w:fldCharType="separate"/>
        </w:r>
        <w:r>
          <w:rPr>
            <w:noProof/>
            <w:webHidden/>
          </w:rPr>
          <w:t>36</w:t>
        </w:r>
        <w:r>
          <w:rPr>
            <w:noProof/>
            <w:webHidden/>
          </w:rPr>
          <w:fldChar w:fldCharType="end"/>
        </w:r>
      </w:hyperlink>
    </w:p>
    <w:p w14:paraId="4EAE5EC6" w14:textId="3FED5A32"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47" w:history="1">
        <w:r w:rsidRPr="000F0647">
          <w:rPr>
            <w:rStyle w:val="Hyperlink"/>
            <w:noProof/>
          </w:rPr>
          <w:t>IV.4 Manufacturing Architecture Differences from Core ADAM</w:t>
        </w:r>
        <w:r>
          <w:rPr>
            <w:noProof/>
            <w:webHidden/>
          </w:rPr>
          <w:tab/>
        </w:r>
        <w:r>
          <w:rPr>
            <w:noProof/>
            <w:webHidden/>
          </w:rPr>
          <w:fldChar w:fldCharType="begin"/>
        </w:r>
        <w:r>
          <w:rPr>
            <w:noProof/>
            <w:webHidden/>
          </w:rPr>
          <w:instrText xml:space="preserve"> PAGEREF _Toc227587147 \h </w:instrText>
        </w:r>
        <w:r>
          <w:rPr>
            <w:noProof/>
            <w:webHidden/>
          </w:rPr>
        </w:r>
        <w:r>
          <w:rPr>
            <w:noProof/>
            <w:webHidden/>
          </w:rPr>
          <w:fldChar w:fldCharType="separate"/>
        </w:r>
        <w:r>
          <w:rPr>
            <w:noProof/>
            <w:webHidden/>
          </w:rPr>
          <w:t>37</w:t>
        </w:r>
        <w:r>
          <w:rPr>
            <w:noProof/>
            <w:webHidden/>
          </w:rPr>
          <w:fldChar w:fldCharType="end"/>
        </w:r>
      </w:hyperlink>
    </w:p>
    <w:p w14:paraId="1276B8CF" w14:textId="0709F42A"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48" w:history="1">
        <w:r w:rsidRPr="000F0647">
          <w:rPr>
            <w:rStyle w:val="Hyperlink"/>
            <w:noProof/>
          </w:rPr>
          <w:t>IV.5 Manufacturing Security: AGT Integration and IEC 62443</w:t>
        </w:r>
        <w:r>
          <w:rPr>
            <w:noProof/>
            <w:webHidden/>
          </w:rPr>
          <w:tab/>
        </w:r>
        <w:r>
          <w:rPr>
            <w:noProof/>
            <w:webHidden/>
          </w:rPr>
          <w:fldChar w:fldCharType="begin"/>
        </w:r>
        <w:r>
          <w:rPr>
            <w:noProof/>
            <w:webHidden/>
          </w:rPr>
          <w:instrText xml:space="preserve"> PAGEREF _Toc227587148 \h </w:instrText>
        </w:r>
        <w:r>
          <w:rPr>
            <w:noProof/>
            <w:webHidden/>
          </w:rPr>
        </w:r>
        <w:r>
          <w:rPr>
            <w:noProof/>
            <w:webHidden/>
          </w:rPr>
          <w:fldChar w:fldCharType="separate"/>
        </w:r>
        <w:r>
          <w:rPr>
            <w:noProof/>
            <w:webHidden/>
          </w:rPr>
          <w:t>39</w:t>
        </w:r>
        <w:r>
          <w:rPr>
            <w:noProof/>
            <w:webHidden/>
          </w:rPr>
          <w:fldChar w:fldCharType="end"/>
        </w:r>
      </w:hyperlink>
    </w:p>
    <w:p w14:paraId="6F9C9FBC" w14:textId="2CEBECAA"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49" w:history="1">
        <w:r w:rsidRPr="000F0647">
          <w:rPr>
            <w:rStyle w:val="Hyperlink"/>
            <w:noProof/>
          </w:rPr>
          <w:t>IV.6 Manufacturing Competing Frameworks and ADAM’s Position</w:t>
        </w:r>
        <w:r>
          <w:rPr>
            <w:noProof/>
            <w:webHidden/>
          </w:rPr>
          <w:tab/>
        </w:r>
        <w:r>
          <w:rPr>
            <w:noProof/>
            <w:webHidden/>
          </w:rPr>
          <w:fldChar w:fldCharType="begin"/>
        </w:r>
        <w:r>
          <w:rPr>
            <w:noProof/>
            <w:webHidden/>
          </w:rPr>
          <w:instrText xml:space="preserve"> PAGEREF _Toc227587149 \h </w:instrText>
        </w:r>
        <w:r>
          <w:rPr>
            <w:noProof/>
            <w:webHidden/>
          </w:rPr>
        </w:r>
        <w:r>
          <w:rPr>
            <w:noProof/>
            <w:webHidden/>
          </w:rPr>
          <w:fldChar w:fldCharType="separate"/>
        </w:r>
        <w:r>
          <w:rPr>
            <w:noProof/>
            <w:webHidden/>
          </w:rPr>
          <w:t>40</w:t>
        </w:r>
        <w:r>
          <w:rPr>
            <w:noProof/>
            <w:webHidden/>
          </w:rPr>
          <w:fldChar w:fldCharType="end"/>
        </w:r>
      </w:hyperlink>
    </w:p>
    <w:p w14:paraId="66A8D486" w14:textId="2A1D28D5"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50" w:history="1">
        <w:r w:rsidRPr="000F0647">
          <w:rPr>
            <w:rStyle w:val="Hyperlink"/>
            <w:noProof/>
          </w:rPr>
          <w:t>IV.7 Manufacturing BOSS Score Customization</w:t>
        </w:r>
        <w:r>
          <w:rPr>
            <w:noProof/>
            <w:webHidden/>
          </w:rPr>
          <w:tab/>
        </w:r>
        <w:r>
          <w:rPr>
            <w:noProof/>
            <w:webHidden/>
          </w:rPr>
          <w:fldChar w:fldCharType="begin"/>
        </w:r>
        <w:r>
          <w:rPr>
            <w:noProof/>
            <w:webHidden/>
          </w:rPr>
          <w:instrText xml:space="preserve"> PAGEREF _Toc227587150 \h </w:instrText>
        </w:r>
        <w:r>
          <w:rPr>
            <w:noProof/>
            <w:webHidden/>
          </w:rPr>
        </w:r>
        <w:r>
          <w:rPr>
            <w:noProof/>
            <w:webHidden/>
          </w:rPr>
          <w:fldChar w:fldCharType="separate"/>
        </w:r>
        <w:r>
          <w:rPr>
            <w:noProof/>
            <w:webHidden/>
          </w:rPr>
          <w:t>42</w:t>
        </w:r>
        <w:r>
          <w:rPr>
            <w:noProof/>
            <w:webHidden/>
          </w:rPr>
          <w:fldChar w:fldCharType="end"/>
        </w:r>
      </w:hyperlink>
    </w:p>
    <w:p w14:paraId="75EE01CD" w14:textId="0B1ADC06" w:rsidR="009E4938" w:rsidRDefault="009E4938">
      <w:pPr>
        <w:pStyle w:val="TOC1"/>
        <w:tabs>
          <w:tab w:val="right" w:leader="dot" w:pos="9350"/>
        </w:tabs>
        <w:rPr>
          <w:rFonts w:asciiTheme="minorHAnsi" w:hAnsiTheme="minorHAnsi"/>
          <w:noProof/>
          <w:color w:val="auto"/>
          <w:kern w:val="2"/>
          <w:sz w:val="24"/>
          <w:szCs w:val="24"/>
          <w:lang/>
          <w14:ligatures w14:val="standardContextual"/>
        </w:rPr>
      </w:pPr>
      <w:hyperlink w:anchor="_Toc227587151" w:history="1">
        <w:r w:rsidRPr="000F0647">
          <w:rPr>
            <w:rStyle w:val="Hyperlink"/>
            <w:noProof/>
          </w:rPr>
          <w:t>Part V — Cross-Industry Architecture Summary</w:t>
        </w:r>
        <w:r>
          <w:rPr>
            <w:noProof/>
            <w:webHidden/>
          </w:rPr>
          <w:tab/>
        </w:r>
        <w:r>
          <w:rPr>
            <w:noProof/>
            <w:webHidden/>
          </w:rPr>
          <w:fldChar w:fldCharType="begin"/>
        </w:r>
        <w:r>
          <w:rPr>
            <w:noProof/>
            <w:webHidden/>
          </w:rPr>
          <w:instrText xml:space="preserve"> PAGEREF _Toc227587151 \h </w:instrText>
        </w:r>
        <w:r>
          <w:rPr>
            <w:noProof/>
            <w:webHidden/>
          </w:rPr>
        </w:r>
        <w:r>
          <w:rPr>
            <w:noProof/>
            <w:webHidden/>
          </w:rPr>
          <w:fldChar w:fldCharType="separate"/>
        </w:r>
        <w:r>
          <w:rPr>
            <w:noProof/>
            <w:webHidden/>
          </w:rPr>
          <w:t>44</w:t>
        </w:r>
        <w:r>
          <w:rPr>
            <w:noProof/>
            <w:webHidden/>
          </w:rPr>
          <w:fldChar w:fldCharType="end"/>
        </w:r>
      </w:hyperlink>
    </w:p>
    <w:p w14:paraId="46C80F9B" w14:textId="26717722"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52" w:history="1">
        <w:r w:rsidRPr="000F0647">
          <w:rPr>
            <w:rStyle w:val="Hyperlink"/>
            <w:noProof/>
          </w:rPr>
          <w:t>V.1 Comparative Architecture Matrix</w:t>
        </w:r>
        <w:r>
          <w:rPr>
            <w:noProof/>
            <w:webHidden/>
          </w:rPr>
          <w:tab/>
        </w:r>
        <w:r>
          <w:rPr>
            <w:noProof/>
            <w:webHidden/>
          </w:rPr>
          <w:fldChar w:fldCharType="begin"/>
        </w:r>
        <w:r>
          <w:rPr>
            <w:noProof/>
            <w:webHidden/>
          </w:rPr>
          <w:instrText xml:space="preserve"> PAGEREF _Toc227587152 \h </w:instrText>
        </w:r>
        <w:r>
          <w:rPr>
            <w:noProof/>
            <w:webHidden/>
          </w:rPr>
        </w:r>
        <w:r>
          <w:rPr>
            <w:noProof/>
            <w:webHidden/>
          </w:rPr>
          <w:fldChar w:fldCharType="separate"/>
        </w:r>
        <w:r>
          <w:rPr>
            <w:noProof/>
            <w:webHidden/>
          </w:rPr>
          <w:t>44</w:t>
        </w:r>
        <w:r>
          <w:rPr>
            <w:noProof/>
            <w:webHidden/>
          </w:rPr>
          <w:fldChar w:fldCharType="end"/>
        </w:r>
      </w:hyperlink>
    </w:p>
    <w:p w14:paraId="040B8A26" w14:textId="55099E68"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53" w:history="1">
        <w:r w:rsidRPr="000F0647">
          <w:rPr>
            <w:rStyle w:val="Hyperlink"/>
            <w:noProof/>
          </w:rPr>
          <w:t>V.2 Universal ADAM Capabilities Across All Industries</w:t>
        </w:r>
        <w:r>
          <w:rPr>
            <w:noProof/>
            <w:webHidden/>
          </w:rPr>
          <w:tab/>
        </w:r>
        <w:r>
          <w:rPr>
            <w:noProof/>
            <w:webHidden/>
          </w:rPr>
          <w:fldChar w:fldCharType="begin"/>
        </w:r>
        <w:r>
          <w:rPr>
            <w:noProof/>
            <w:webHidden/>
          </w:rPr>
          <w:instrText xml:space="preserve"> PAGEREF _Toc227587153 \h </w:instrText>
        </w:r>
        <w:r>
          <w:rPr>
            <w:noProof/>
            <w:webHidden/>
          </w:rPr>
        </w:r>
        <w:r>
          <w:rPr>
            <w:noProof/>
            <w:webHidden/>
          </w:rPr>
          <w:fldChar w:fldCharType="separate"/>
        </w:r>
        <w:r>
          <w:rPr>
            <w:noProof/>
            <w:webHidden/>
          </w:rPr>
          <w:t>45</w:t>
        </w:r>
        <w:r>
          <w:rPr>
            <w:noProof/>
            <w:webHidden/>
          </w:rPr>
          <w:fldChar w:fldCharType="end"/>
        </w:r>
      </w:hyperlink>
    </w:p>
    <w:p w14:paraId="49BF894E" w14:textId="6E3FB9C2" w:rsidR="009E4938" w:rsidRDefault="009E4938">
      <w:pPr>
        <w:pStyle w:val="TOC1"/>
        <w:tabs>
          <w:tab w:val="right" w:leader="dot" w:pos="9350"/>
        </w:tabs>
        <w:rPr>
          <w:rFonts w:asciiTheme="minorHAnsi" w:hAnsiTheme="minorHAnsi"/>
          <w:noProof/>
          <w:color w:val="auto"/>
          <w:kern w:val="2"/>
          <w:sz w:val="24"/>
          <w:szCs w:val="24"/>
          <w:lang/>
          <w14:ligatures w14:val="standardContextual"/>
        </w:rPr>
      </w:pPr>
      <w:hyperlink w:anchor="_Toc227587154" w:history="1">
        <w:r w:rsidRPr="000F0647">
          <w:rPr>
            <w:rStyle w:val="Hyperlink"/>
            <w:noProof/>
          </w:rPr>
          <w:t>Appendix A — Industry Standards Reference</w:t>
        </w:r>
        <w:r>
          <w:rPr>
            <w:noProof/>
            <w:webHidden/>
          </w:rPr>
          <w:tab/>
        </w:r>
        <w:r>
          <w:rPr>
            <w:noProof/>
            <w:webHidden/>
          </w:rPr>
          <w:fldChar w:fldCharType="begin"/>
        </w:r>
        <w:r>
          <w:rPr>
            <w:noProof/>
            <w:webHidden/>
          </w:rPr>
          <w:instrText xml:space="preserve"> PAGEREF _Toc227587154 \h </w:instrText>
        </w:r>
        <w:r>
          <w:rPr>
            <w:noProof/>
            <w:webHidden/>
          </w:rPr>
        </w:r>
        <w:r>
          <w:rPr>
            <w:noProof/>
            <w:webHidden/>
          </w:rPr>
          <w:fldChar w:fldCharType="separate"/>
        </w:r>
        <w:r>
          <w:rPr>
            <w:noProof/>
            <w:webHidden/>
          </w:rPr>
          <w:t>46</w:t>
        </w:r>
        <w:r>
          <w:rPr>
            <w:noProof/>
            <w:webHidden/>
          </w:rPr>
          <w:fldChar w:fldCharType="end"/>
        </w:r>
      </w:hyperlink>
    </w:p>
    <w:p w14:paraId="54034356" w14:textId="579F53A7"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55" w:history="1">
        <w:r w:rsidRPr="000F0647">
          <w:rPr>
            <w:rStyle w:val="Hyperlink"/>
            <w:noProof/>
          </w:rPr>
          <w:t>A.1 Media Industry Standards</w:t>
        </w:r>
        <w:r>
          <w:rPr>
            <w:noProof/>
            <w:webHidden/>
          </w:rPr>
          <w:tab/>
        </w:r>
        <w:r>
          <w:rPr>
            <w:noProof/>
            <w:webHidden/>
          </w:rPr>
          <w:fldChar w:fldCharType="begin"/>
        </w:r>
        <w:r>
          <w:rPr>
            <w:noProof/>
            <w:webHidden/>
          </w:rPr>
          <w:instrText xml:space="preserve"> PAGEREF _Toc227587155 \h </w:instrText>
        </w:r>
        <w:r>
          <w:rPr>
            <w:noProof/>
            <w:webHidden/>
          </w:rPr>
        </w:r>
        <w:r>
          <w:rPr>
            <w:noProof/>
            <w:webHidden/>
          </w:rPr>
          <w:fldChar w:fldCharType="separate"/>
        </w:r>
        <w:r>
          <w:rPr>
            <w:noProof/>
            <w:webHidden/>
          </w:rPr>
          <w:t>46</w:t>
        </w:r>
        <w:r>
          <w:rPr>
            <w:noProof/>
            <w:webHidden/>
          </w:rPr>
          <w:fldChar w:fldCharType="end"/>
        </w:r>
      </w:hyperlink>
    </w:p>
    <w:p w14:paraId="1C3B1775" w14:textId="6F7683EC"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56" w:history="1">
        <w:r w:rsidRPr="000F0647">
          <w:rPr>
            <w:rStyle w:val="Hyperlink"/>
            <w:noProof/>
          </w:rPr>
          <w:t>A.2 Healthcare &amp; Life Sciences Standards</w:t>
        </w:r>
        <w:r>
          <w:rPr>
            <w:noProof/>
            <w:webHidden/>
          </w:rPr>
          <w:tab/>
        </w:r>
        <w:r>
          <w:rPr>
            <w:noProof/>
            <w:webHidden/>
          </w:rPr>
          <w:fldChar w:fldCharType="begin"/>
        </w:r>
        <w:r>
          <w:rPr>
            <w:noProof/>
            <w:webHidden/>
          </w:rPr>
          <w:instrText xml:space="preserve"> PAGEREF _Toc227587156 \h </w:instrText>
        </w:r>
        <w:r>
          <w:rPr>
            <w:noProof/>
            <w:webHidden/>
          </w:rPr>
        </w:r>
        <w:r>
          <w:rPr>
            <w:noProof/>
            <w:webHidden/>
          </w:rPr>
          <w:fldChar w:fldCharType="separate"/>
        </w:r>
        <w:r>
          <w:rPr>
            <w:noProof/>
            <w:webHidden/>
          </w:rPr>
          <w:t>46</w:t>
        </w:r>
        <w:r>
          <w:rPr>
            <w:noProof/>
            <w:webHidden/>
          </w:rPr>
          <w:fldChar w:fldCharType="end"/>
        </w:r>
      </w:hyperlink>
    </w:p>
    <w:p w14:paraId="21FF957C" w14:textId="6934CE48"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57" w:history="1">
        <w:r w:rsidRPr="000F0647">
          <w:rPr>
            <w:rStyle w:val="Hyperlink"/>
            <w:noProof/>
          </w:rPr>
          <w:t>A.3 Manufacturing Standards</w:t>
        </w:r>
        <w:r>
          <w:rPr>
            <w:noProof/>
            <w:webHidden/>
          </w:rPr>
          <w:tab/>
        </w:r>
        <w:r>
          <w:rPr>
            <w:noProof/>
            <w:webHidden/>
          </w:rPr>
          <w:fldChar w:fldCharType="begin"/>
        </w:r>
        <w:r>
          <w:rPr>
            <w:noProof/>
            <w:webHidden/>
          </w:rPr>
          <w:instrText xml:space="preserve"> PAGEREF _Toc227587157 \h </w:instrText>
        </w:r>
        <w:r>
          <w:rPr>
            <w:noProof/>
            <w:webHidden/>
          </w:rPr>
        </w:r>
        <w:r>
          <w:rPr>
            <w:noProof/>
            <w:webHidden/>
          </w:rPr>
          <w:fldChar w:fldCharType="separate"/>
        </w:r>
        <w:r>
          <w:rPr>
            <w:noProof/>
            <w:webHidden/>
          </w:rPr>
          <w:t>47</w:t>
        </w:r>
        <w:r>
          <w:rPr>
            <w:noProof/>
            <w:webHidden/>
          </w:rPr>
          <w:fldChar w:fldCharType="end"/>
        </w:r>
      </w:hyperlink>
    </w:p>
    <w:p w14:paraId="65166F71" w14:textId="3E81120F" w:rsidR="009E4938" w:rsidRDefault="009E4938">
      <w:pPr>
        <w:pStyle w:val="TOC2"/>
        <w:tabs>
          <w:tab w:val="right" w:leader="dot" w:pos="9350"/>
        </w:tabs>
        <w:rPr>
          <w:rFonts w:asciiTheme="minorHAnsi" w:hAnsiTheme="minorHAnsi"/>
          <w:noProof/>
          <w:color w:val="auto"/>
          <w:kern w:val="2"/>
          <w:sz w:val="24"/>
          <w:szCs w:val="24"/>
          <w:lang/>
          <w14:ligatures w14:val="standardContextual"/>
        </w:rPr>
      </w:pPr>
      <w:hyperlink w:anchor="_Toc227587158" w:history="1">
        <w:r w:rsidRPr="000F0647">
          <w:rPr>
            <w:rStyle w:val="Hyperlink"/>
            <w:noProof/>
          </w:rPr>
          <w:t>A.4 Microsoft Agent Governance Toolkit (AGT)</w:t>
        </w:r>
        <w:r>
          <w:rPr>
            <w:noProof/>
            <w:webHidden/>
          </w:rPr>
          <w:tab/>
        </w:r>
        <w:r>
          <w:rPr>
            <w:noProof/>
            <w:webHidden/>
          </w:rPr>
          <w:fldChar w:fldCharType="begin"/>
        </w:r>
        <w:r>
          <w:rPr>
            <w:noProof/>
            <w:webHidden/>
          </w:rPr>
          <w:instrText xml:space="preserve"> PAGEREF _Toc227587158 \h </w:instrText>
        </w:r>
        <w:r>
          <w:rPr>
            <w:noProof/>
            <w:webHidden/>
          </w:rPr>
        </w:r>
        <w:r>
          <w:rPr>
            <w:noProof/>
            <w:webHidden/>
          </w:rPr>
          <w:fldChar w:fldCharType="separate"/>
        </w:r>
        <w:r>
          <w:rPr>
            <w:noProof/>
            <w:webHidden/>
          </w:rPr>
          <w:t>48</w:t>
        </w:r>
        <w:r>
          <w:rPr>
            <w:noProof/>
            <w:webHidden/>
          </w:rPr>
          <w:fldChar w:fldCharType="end"/>
        </w:r>
      </w:hyperlink>
    </w:p>
    <w:p w14:paraId="28BE2123" w14:textId="76DD1738" w:rsidR="009E4938" w:rsidRDefault="009E4938">
      <w:pPr>
        <w:pStyle w:val="TOC1"/>
        <w:tabs>
          <w:tab w:val="right" w:leader="dot" w:pos="9350"/>
        </w:tabs>
        <w:rPr>
          <w:rFonts w:asciiTheme="minorHAnsi" w:hAnsiTheme="minorHAnsi"/>
          <w:noProof/>
          <w:color w:val="auto"/>
          <w:kern w:val="2"/>
          <w:sz w:val="24"/>
          <w:szCs w:val="24"/>
          <w:lang/>
          <w14:ligatures w14:val="standardContextual"/>
        </w:rPr>
      </w:pPr>
      <w:hyperlink w:anchor="_Toc227587159" w:history="1">
        <w:r w:rsidRPr="000F0647">
          <w:rPr>
            <w:rStyle w:val="Hyperlink"/>
            <w:noProof/>
          </w:rPr>
          <w:t>Final Note</w:t>
        </w:r>
        <w:r>
          <w:rPr>
            <w:noProof/>
            <w:webHidden/>
          </w:rPr>
          <w:tab/>
        </w:r>
        <w:r>
          <w:rPr>
            <w:noProof/>
            <w:webHidden/>
          </w:rPr>
          <w:fldChar w:fldCharType="begin"/>
        </w:r>
        <w:r>
          <w:rPr>
            <w:noProof/>
            <w:webHidden/>
          </w:rPr>
          <w:instrText xml:space="preserve"> PAGEREF _Toc227587159 \h </w:instrText>
        </w:r>
        <w:r>
          <w:rPr>
            <w:noProof/>
            <w:webHidden/>
          </w:rPr>
        </w:r>
        <w:r>
          <w:rPr>
            <w:noProof/>
            <w:webHidden/>
          </w:rPr>
          <w:fldChar w:fldCharType="separate"/>
        </w:r>
        <w:r>
          <w:rPr>
            <w:noProof/>
            <w:webHidden/>
          </w:rPr>
          <w:t>49</w:t>
        </w:r>
        <w:r>
          <w:rPr>
            <w:noProof/>
            <w:webHidden/>
          </w:rPr>
          <w:fldChar w:fldCharType="end"/>
        </w:r>
      </w:hyperlink>
    </w:p>
    <w:p w14:paraId="0D7A9509" w14:textId="210A0273" w:rsidR="001A4EDA" w:rsidRDefault="00000000">
      <w:r>
        <w:fldChar w:fldCharType="end"/>
      </w:r>
    </w:p>
    <w:p w14:paraId="32B43A56" w14:textId="77777777" w:rsidR="001A4EDA" w:rsidRDefault="00000000">
      <w:r>
        <w:br w:type="page"/>
      </w:r>
    </w:p>
    <w:p w14:paraId="472EB455" w14:textId="77777777" w:rsidR="001A4EDA" w:rsidRDefault="00000000">
      <w:pPr>
        <w:pStyle w:val="Heading1"/>
      </w:pPr>
      <w:bookmarkStart w:id="1" w:name="_Toc227587122"/>
      <w:r>
        <w:lastRenderedPageBreak/>
        <w:t>Part I — Purpose and Scope</w:t>
      </w:r>
      <w:bookmarkEnd w:id="1"/>
    </w:p>
    <w:p w14:paraId="65C8F878" w14:textId="77777777" w:rsidR="001A4EDA" w:rsidRDefault="00000000">
      <w:r>
        <w:rPr>
          <w:b/>
          <w:sz w:val="26"/>
        </w:rPr>
        <w:t>Why industry-specific doctrine is not optional—it is structural.</w:t>
      </w:r>
    </w:p>
    <w:p w14:paraId="69F0FA65" w14:textId="77777777" w:rsidR="001A4EDA" w:rsidRDefault="00000000">
      <w:r>
        <w:t>ADAM’s core doctrine is industry-agnostic by design. The CORE Engine, BOSS scoring, Exception Economy, Flight Recorder, Cryptographic Authorization Vault (Privacy Lockbox), and 81-agent mesh are universal architectural primitives that govern any autonomous enterprise. But universality without specialization is a blueprint without a foundation. The moment ADAM is deployed into a media company, a hospital system, or a manufacturing plant, it encounters domain-specific regulatory regimes, operational patterns,</w:t>
      </w:r>
      <w:r>
        <w:t xml:space="preserve"> security requirements, interoperability standards, and risk profiles that the general doctrine was never meant to encode alone.</w:t>
      </w:r>
    </w:p>
    <w:p w14:paraId="5CC2D69F" w14:textId="77777777" w:rsidR="001A4EDA" w:rsidRDefault="00000000">
      <w:r>
        <w:t>This document extends ADAM into three industries—Media, Healthcare &amp; Life Sciences, and Manufacturing—with the same prescriptive rigor as the core doctrine. Each industry section defines: the industry-specific agents and services that ADAM must deploy, the architecture differences that the industry demands, the security posture that regulators and operational reality require, the interoperability standards that ADAM must conform to or consume, and the competing frameworks that exist in each industry alongsi</w:t>
      </w:r>
      <w:r>
        <w:t>de an honest assessment of where ADAM conforms, extends, or supersedes them.</w:t>
      </w:r>
    </w:p>
    <w:p w14:paraId="39B07B1D" w14:textId="77777777" w:rsidR="001A4EDA" w:rsidRDefault="00000000">
      <w:r>
        <w:t>Every specification in this document is designed to be directly consumable by AI systems building ADAM’s industry-specific agents. This is not a strategy document. It is a deployment-grade extension of the ADAM doctrine.</w:t>
      </w:r>
    </w:p>
    <w:tbl>
      <w:tblPr>
        <w:tblW w:w="0" w:type="auto"/>
        <w:jc w:val="center"/>
        <w:tblLook w:val="04A0" w:firstRow="1" w:lastRow="0" w:firstColumn="1" w:lastColumn="0" w:noHBand="0" w:noVBand="1"/>
      </w:tblPr>
      <w:tblGrid>
        <w:gridCol w:w="9360"/>
      </w:tblGrid>
      <w:tr w:rsidR="001A4EDA" w14:paraId="5270306D" w14:textId="77777777">
        <w:trPr>
          <w:jc w:val="center"/>
        </w:trPr>
        <w:tc>
          <w:tcPr>
            <w:tcW w:w="9360" w:type="dxa"/>
            <w:shd w:val="clear" w:color="auto" w:fill="E8EDF2"/>
          </w:tcPr>
          <w:p w14:paraId="426FC9D9" w14:textId="77777777" w:rsidR="001A4EDA" w:rsidRDefault="00000000">
            <w:r>
              <w:rPr>
                <w:b/>
                <w:color w:val="1F3A5F"/>
              </w:rPr>
              <w:t>SIDEBAR: How This Document Relates to Core ADAM</w:t>
            </w:r>
          </w:p>
          <w:p w14:paraId="559F5A27" w14:textId="3DC6C475" w:rsidR="001A4EDA" w:rsidRDefault="00000000">
            <w:r>
              <w:rPr>
                <w:sz w:val="20"/>
              </w:rPr>
              <w:t xml:space="preserve">Core ADAM </w:t>
            </w:r>
            <w:r w:rsidR="009E4938">
              <w:rPr>
                <w:sz w:val="20"/>
              </w:rPr>
              <w:t>Book</w:t>
            </w:r>
            <w:r>
              <w:rPr>
                <w:sz w:val="20"/>
              </w:rPr>
              <w:t xml:space="preserve"> defines the constitutional operating model: doctrine, governance, scoring, orchestration, evidence, and sovereignty.</w:t>
            </w:r>
          </w:p>
          <w:p w14:paraId="5D527F94" w14:textId="77777777" w:rsidR="001A4EDA" w:rsidRDefault="00000000">
            <w:r>
              <w:rPr>
                <w:sz w:val="20"/>
              </w:rPr>
              <w:t>This document defines the industry-specific instantiation: which agents exist, what standards they consume, how security differs, and what services the agent mesh must provide to operate holistically in each vertical.</w:t>
            </w:r>
          </w:p>
          <w:p w14:paraId="40F542CF" w14:textId="77777777" w:rsidR="001A4EDA" w:rsidRDefault="00000000">
            <w:r>
              <w:rPr>
                <w:sz w:val="20"/>
              </w:rPr>
              <w:t>Think of core ADAM as the operating system. This document defines the industry-specific device drivers, system services, and API bindings that make that OS useful in production.</w:t>
            </w:r>
          </w:p>
          <w:p w14:paraId="1C10C436" w14:textId="77777777" w:rsidR="001A4EDA" w:rsidRDefault="00000000">
            <w:r>
              <w:rPr>
                <w:sz w:val="20"/>
              </w:rPr>
              <w:t>The 5-Director Constitution—CEO, CFO, Legal Director, Market Director, CISO—remains the human accountability structure across all industries. Industry-specific agents report through existing governance channels. No new human roles are created.</w:t>
            </w:r>
          </w:p>
          <w:p w14:paraId="4A440A42" w14:textId="433E95C0" w:rsidR="001A4EDA" w:rsidRDefault="00000000">
            <w:r>
              <w:rPr>
                <w:sz w:val="20"/>
              </w:rPr>
              <w:t>Reference: ADAM — Autonomy Doctrine &amp; Architecture Model</w:t>
            </w:r>
          </w:p>
          <w:p w14:paraId="2F4A5A1F" w14:textId="77777777" w:rsidR="001A4EDA" w:rsidRDefault="00000000">
            <w:r>
              <w:rPr>
                <w:sz w:val="20"/>
              </w:rPr>
              <w:t>Reference: ADAM — Governance Charter and Human Directorship</w:t>
            </w:r>
          </w:p>
        </w:tc>
      </w:tr>
    </w:tbl>
    <w:p w14:paraId="34FEA548" w14:textId="77777777" w:rsidR="001A4EDA" w:rsidRDefault="001A4EDA"/>
    <w:p w14:paraId="28179346" w14:textId="77777777" w:rsidR="001A4EDA" w:rsidRDefault="00000000">
      <w:pPr>
        <w:pStyle w:val="Heading2"/>
      </w:pPr>
      <w:bookmarkStart w:id="2" w:name="_Toc227587123"/>
      <w:r>
        <w:lastRenderedPageBreak/>
        <w:t>Document Structure</w:t>
      </w:r>
      <w:bookmarkEnd w:id="2"/>
    </w:p>
    <w:p w14:paraId="2B79AF49" w14:textId="19F490EE" w:rsidR="001A4EDA" w:rsidRDefault="00000000">
      <w:r>
        <w:t xml:space="preserve">Each industry section follows an identical structure for consistency and AI-consumability: (1) Industry Context and Why ADAM Matters, (2) Industry-Specific Agent Inventory with detailed specifications, (3) Major Services That Enable Holistic ADAM Operation, (4) Architecture Differences from Core ADAM, (5) Security Differences and </w:t>
      </w:r>
      <w:r w:rsidR="00430777">
        <w:t>AGT</w:t>
      </w:r>
      <w:r>
        <w:t xml:space="preserve"> Integration, (6) Interoperability and Standards Conformance with mapping tables, (7) Competing Frameworks and ADAM’s Position, and (8) Industry-Specific BOSS Score Customizations.</w:t>
      </w:r>
    </w:p>
    <w:p w14:paraId="7646489A" w14:textId="77777777" w:rsidR="001A4EDA" w:rsidRDefault="00000000">
      <w:r>
        <w:t>Each section includes fictional company scenarios that demonstrate ADAM in action within the industry context. NetStreamX (media), NetHealthX (healthcare), and NetMakeItX (manufacturing) are used as running examples throughout, consistent with the NetStreamX scenarios in the core ADAM doctrine. These are not toy examples—they are realistic operational scenarios that illustrate how ADAM’s governance model applies to the specific challenges of each industry.</w:t>
      </w:r>
    </w:p>
    <w:tbl>
      <w:tblPr>
        <w:tblW w:w="0" w:type="auto"/>
        <w:jc w:val="center"/>
        <w:tblLook w:val="04A0" w:firstRow="1" w:lastRow="0" w:firstColumn="1" w:lastColumn="0" w:noHBand="0" w:noVBand="1"/>
      </w:tblPr>
      <w:tblGrid>
        <w:gridCol w:w="9360"/>
      </w:tblGrid>
      <w:tr w:rsidR="001A4EDA" w14:paraId="769B1C15" w14:textId="77777777">
        <w:trPr>
          <w:jc w:val="center"/>
        </w:trPr>
        <w:tc>
          <w:tcPr>
            <w:tcW w:w="9360" w:type="dxa"/>
            <w:shd w:val="clear" w:color="auto" w:fill="E8EDF2"/>
          </w:tcPr>
          <w:p w14:paraId="015C27EC" w14:textId="0858C833" w:rsidR="001A4EDA" w:rsidRDefault="00000000">
            <w:r>
              <w:rPr>
                <w:b/>
                <w:color w:val="1F3A5F"/>
              </w:rPr>
              <w:t>SIDEBAR: Microsoft Agent Governance Toolkit (</w:t>
            </w:r>
            <w:r w:rsidR="00430777">
              <w:rPr>
                <w:b/>
                <w:color w:val="1F3A5F"/>
              </w:rPr>
              <w:t>AGT</w:t>
            </w:r>
            <w:r>
              <w:rPr>
                <w:b/>
                <w:color w:val="1F3A5F"/>
              </w:rPr>
              <w:t>) in Industry Deployments</w:t>
            </w:r>
          </w:p>
          <w:p w14:paraId="47743278" w14:textId="098E6DC8" w:rsidR="001A4EDA" w:rsidRDefault="00000000">
            <w:r>
              <w:rPr>
                <w:sz w:val="20"/>
              </w:rPr>
              <w:t xml:space="preserve">Every industry section references </w:t>
            </w:r>
            <w:r w:rsidR="00430777">
              <w:rPr>
                <w:sz w:val="20"/>
              </w:rPr>
              <w:t>AGT</w:t>
            </w:r>
            <w:r>
              <w:rPr>
                <w:sz w:val="20"/>
              </w:rPr>
              <w:t xml:space="preserve">—Microsoft’s open-source runtime security layer (April 2026)—as a plugin to ADAM’s Security &amp; Trust Plane (IV.4). </w:t>
            </w:r>
            <w:r w:rsidR="00430777">
              <w:rPr>
                <w:sz w:val="20"/>
              </w:rPr>
              <w:t>AGT</w:t>
            </w:r>
            <w:r>
              <w:rPr>
                <w:sz w:val="20"/>
              </w:rPr>
              <w:t xml:space="preserve"> provides sub-millisecond OPA/Rego policy checks, execution ring isolation, DID-based cryptographic agent identity, and saga-pattern orchestration across all 10 OWASP agentic AI risks.</w:t>
            </w:r>
          </w:p>
          <w:p w14:paraId="4FC1061A" w14:textId="011FD65E" w:rsidR="001A4EDA" w:rsidRDefault="00000000">
            <w:r>
              <w:rPr>
                <w:sz w:val="20"/>
              </w:rPr>
              <w:t xml:space="preserve">ADAM is not a competitor to </w:t>
            </w:r>
            <w:r w:rsidR="00430777">
              <w:rPr>
                <w:sz w:val="20"/>
              </w:rPr>
              <w:t>AGT</w:t>
            </w:r>
            <w:r>
              <w:rPr>
                <w:sz w:val="20"/>
              </w:rPr>
              <w:t xml:space="preserve">. ADAM is the doctrine that tells </w:t>
            </w:r>
            <w:r w:rsidR="00430777">
              <w:rPr>
                <w:sz w:val="20"/>
              </w:rPr>
              <w:t>AGT</w:t>
            </w:r>
            <w:r>
              <w:rPr>
                <w:sz w:val="20"/>
              </w:rPr>
              <w:t xml:space="preserve"> what to enforce. Industry-specific </w:t>
            </w:r>
            <w:r w:rsidR="00430777">
              <w:rPr>
                <w:sz w:val="20"/>
              </w:rPr>
              <w:t>AGT</w:t>
            </w:r>
            <w:r>
              <w:rPr>
                <w:sz w:val="20"/>
              </w:rPr>
              <w:t xml:space="preserve"> policies are defined in each section.</w:t>
            </w:r>
          </w:p>
          <w:p w14:paraId="3B13F6F3" w14:textId="77777777" w:rsidR="001A4EDA" w:rsidRDefault="00000000">
            <w:r>
              <w:rPr>
                <w:sz w:val="20"/>
              </w:rPr>
              <w:t>Reference: https://github.com/microsoft/agent-governance-toolkit</w:t>
            </w:r>
          </w:p>
          <w:p w14:paraId="07F5AA83" w14:textId="77777777" w:rsidR="001A4EDA" w:rsidRDefault="00000000">
            <w:r>
              <w:rPr>
                <w:sz w:val="20"/>
              </w:rPr>
              <w:t>Reference: https://opensource.microsoft.com/blog/2026/04/02/introducing-the-agent-governance-toolkit</w:t>
            </w:r>
          </w:p>
        </w:tc>
      </w:tr>
    </w:tbl>
    <w:p w14:paraId="3791502F" w14:textId="77777777" w:rsidR="001A4EDA" w:rsidRDefault="001A4EDA"/>
    <w:p w14:paraId="5CBDECF8" w14:textId="77777777" w:rsidR="001A4EDA" w:rsidRDefault="00000000">
      <w:r>
        <w:br w:type="page"/>
      </w:r>
    </w:p>
    <w:p w14:paraId="7D38D463" w14:textId="77777777" w:rsidR="001A4EDA" w:rsidRDefault="00000000">
      <w:pPr>
        <w:pStyle w:val="Heading1"/>
      </w:pPr>
      <w:bookmarkStart w:id="3" w:name="_Toc227587124"/>
      <w:r>
        <w:lastRenderedPageBreak/>
        <w:t>Part II — Media Industry</w:t>
      </w:r>
      <w:bookmarkEnd w:id="3"/>
    </w:p>
    <w:p w14:paraId="0838C232" w14:textId="77777777" w:rsidR="001A4EDA" w:rsidRDefault="00000000">
      <w:pPr>
        <w:pStyle w:val="Heading2"/>
      </w:pPr>
      <w:bookmarkStart w:id="4" w:name="_Toc227587125"/>
      <w:r>
        <w:t>II.1 Industry Context: Why ADAM for Media</w:t>
      </w:r>
      <w:bookmarkEnd w:id="4"/>
    </w:p>
    <w:p w14:paraId="047E9EC2" w14:textId="77777777" w:rsidR="001A4EDA" w:rsidRDefault="00000000">
      <w:r>
        <w:rPr>
          <w:b/>
          <w:sz w:val="24"/>
        </w:rPr>
        <w:t>ADAM is not a content engine. It is the entire company operating model—finance, rights, distribution, subscriptions, support—governed by the 5-Director Constitution.</w:t>
      </w:r>
    </w:p>
    <w:p w14:paraId="089D1A7F" w14:textId="77777777" w:rsidR="001A4EDA" w:rsidRDefault="00000000">
      <w:r>
        <w:t>The media industry sits at the intersection of every complexity vector that ADAM was designed to govern: real-time content operations across dozens of markets, territorial rights regimes that vary by jurisdiction and content type, financial exposure spanning micro-transactions (per-impression ad payments) to macro-commitments (multi-year output deals), regulatory fragmentation across the EU Audio Visual Media Services Directive, national broadcasting regulations, GDPR, and emerging AI content labeling requi</w:t>
      </w:r>
      <w:r>
        <w:t>rements, and an audience that punishes errors publicly and permanently.</w:t>
      </w:r>
    </w:p>
    <w:p w14:paraId="0E0E3F73" w14:textId="77777777" w:rsidR="001A4EDA" w:rsidRDefault="00000000">
      <w:r>
        <w:t>Media companies have adopted automation for individual workflows—transcoding pipelines, ad insertion, recommendation engines—but none of these systems governs the others. A rights violation in content distribution does not trigger a financial hold. A brand safety incident does not automatically pause advertising commitments. A regulatory change in one territory does not propagate to scheduling decisions in adjacent markets. The result is autonomous capability without autonomous governance: fast systems that</w:t>
      </w:r>
      <w:r>
        <w:t xml:space="preserve"> can break things at scale without anyone knowing until the lawsuit arrives.</w:t>
      </w:r>
    </w:p>
    <w:p w14:paraId="53A4D2ED" w14:textId="77777777" w:rsidR="001A4EDA" w:rsidRDefault="00000000">
      <w:r>
        <w:t>ADAM solves this by treating the media enterprise as a single governed entity where every autonomous action—content scheduling, rights clearance, financial settlement, audience targeting, editorial compliance, infrastructure scaling—is scored, bounded, and evidenced through the same doctrine. The media-specific agents defined in this section are not bolt-on features. They are the instantiation of ADAM’s universal architecture for the specific operational reality of media companies.</w:t>
      </w:r>
    </w:p>
    <w:tbl>
      <w:tblPr>
        <w:tblW w:w="0" w:type="auto"/>
        <w:jc w:val="center"/>
        <w:tblLook w:val="04A0" w:firstRow="1" w:lastRow="0" w:firstColumn="1" w:lastColumn="0" w:noHBand="0" w:noVBand="1"/>
      </w:tblPr>
      <w:tblGrid>
        <w:gridCol w:w="9360"/>
      </w:tblGrid>
      <w:tr w:rsidR="001A4EDA" w14:paraId="28AD851F" w14:textId="77777777">
        <w:trPr>
          <w:jc w:val="center"/>
        </w:trPr>
        <w:tc>
          <w:tcPr>
            <w:tcW w:w="9360" w:type="dxa"/>
            <w:shd w:val="clear" w:color="auto" w:fill="FFF3E0"/>
          </w:tcPr>
          <w:p w14:paraId="753CB81E" w14:textId="77777777" w:rsidR="001A4EDA" w:rsidRDefault="00000000">
            <w:r>
              <w:rPr>
                <w:b/>
                <w:color w:val="8B5E00"/>
              </w:rPr>
              <w:t>SCENARIO: NetStreamX — The Problem ADAM Solves</w:t>
            </w:r>
          </w:p>
          <w:p w14:paraId="357057ED" w14:textId="77777777" w:rsidR="001A4EDA" w:rsidRDefault="00000000">
            <w:r>
              <w:rPr>
                <w:sz w:val="20"/>
              </w:rPr>
              <w:t>NetStreamX is a mid-tier streaming platform operating in 14 markets across Europe and APAC. On a Tuesday morning, their automated transcoding pipeline processes a batch of newly acquired South Korean drama content. The content is transcoded, metadata is generated, and the titles appear on the platform within hours.</w:t>
            </w:r>
          </w:p>
          <w:p w14:paraId="31E9F0D8" w14:textId="77777777" w:rsidR="001A4EDA" w:rsidRDefault="00000000">
            <w:r>
              <w:rPr>
                <w:sz w:val="20"/>
              </w:rPr>
              <w:t>What nobody catches: the territorial rights for three of the fourteen titles exclude France and Belgium due to a pre-existing exclusivity deal with a French broadcaster. The transcoding system does not check rights. The recommendation engine does not check rights. The distribution system does not check rights. 48 hours later, the French broadcaster’s legal team sends a cease-and-desist. NetStreamX pulls the titles, but not before 200,000 French subscribers have watched episodes that were never legally avail</w:t>
            </w:r>
            <w:r>
              <w:rPr>
                <w:sz w:val="20"/>
              </w:rPr>
              <w:t>able to them.</w:t>
            </w:r>
          </w:p>
          <w:p w14:paraId="76C96ED3" w14:textId="77777777" w:rsidR="001A4EDA" w:rsidRDefault="00000000">
            <w:r>
              <w:rPr>
                <w:sz w:val="20"/>
              </w:rPr>
              <w:t>With ADAM: The Autonomous Rights &amp; Licensing Broker verifies territorial entitlements in the Cryptographic Authorization Vault before any content reaches distribution. The BOSS Rights Certainty dimension scores the action. The three excluded titles are flagged with a BOSS score of 72 (HIGH tier)—the Market Director is notified, and distribution to France and Belgium is blocked automatically. The Flight Recorder captures the evidence chain. The lawsuit never happens. The 200,000 subscribers never see content</w:t>
            </w:r>
            <w:r>
              <w:rPr>
                <w:sz w:val="20"/>
              </w:rPr>
              <w:t xml:space="preserve"> they should not have seen.</w:t>
            </w:r>
          </w:p>
        </w:tc>
      </w:tr>
    </w:tbl>
    <w:p w14:paraId="23D8C277" w14:textId="77777777" w:rsidR="001A4EDA" w:rsidRDefault="001A4EDA"/>
    <w:p w14:paraId="4DA91EA7" w14:textId="77777777" w:rsidR="001A4EDA" w:rsidRDefault="00000000">
      <w:pPr>
        <w:pStyle w:val="Heading2"/>
      </w:pPr>
      <w:bookmarkStart w:id="5" w:name="_Toc227587126"/>
      <w:r>
        <w:t>II.2 Media Industry Agent Inventory</w:t>
      </w:r>
      <w:bookmarkEnd w:id="5"/>
    </w:p>
    <w:p w14:paraId="6C09DB2F" w14:textId="77777777" w:rsidR="001A4EDA" w:rsidRDefault="00000000">
      <w:r>
        <w:rPr>
          <w:b/>
          <w:sz w:val="24"/>
        </w:rPr>
        <w:t>Every agent carries a doctrine. Every action carries a score. Every industry carries its own operational truth.</w:t>
      </w:r>
    </w:p>
    <w:p w14:paraId="512A9734" w14:textId="77777777" w:rsidR="001A4EDA" w:rsidRDefault="00000000">
      <w:r>
        <w:t>The following agents extend ADAM’s 81-agent mesh for media-specific operations. Each agent operates within ADAM’s standard governance model: BOSS-scored, policy-bounded, Flight Recorder-evidenced, and subject to the Exception Economy. Industry agents do not bypass governance—they specialize it.</w:t>
      </w:r>
    </w:p>
    <w:p w14:paraId="69F78CEA" w14:textId="77777777" w:rsidR="001A4EDA" w:rsidRDefault="00000000">
      <w:r>
        <w:t>Media agents are organized across ADAM’s existing agent layers. Governor Agents govern entire media domains—audience intelligence, financial reconciliation—while Work Group agents handle specific operational functions within those domains. No new governance layers are required. The 5-Director Constitution provides human accountability for all media-specific agents through the same escalation paths as core ADAM agents.</w:t>
      </w:r>
    </w:p>
    <w:tbl>
      <w:tblPr>
        <w:tblStyle w:val="TableGrid"/>
        <w:tblW w:w="0" w:type="auto"/>
        <w:jc w:val="center"/>
        <w:tblLook w:val="04A0" w:firstRow="1" w:lastRow="0" w:firstColumn="1" w:lastColumn="0" w:noHBand="0" w:noVBand="1"/>
      </w:tblPr>
      <w:tblGrid>
        <w:gridCol w:w="1461"/>
        <w:gridCol w:w="1222"/>
        <w:gridCol w:w="1561"/>
        <w:gridCol w:w="1541"/>
        <w:gridCol w:w="1938"/>
        <w:gridCol w:w="1627"/>
      </w:tblGrid>
      <w:tr w:rsidR="001A4EDA" w14:paraId="56EF3F36" w14:textId="77777777">
        <w:trPr>
          <w:jc w:val="center"/>
        </w:trPr>
        <w:tc>
          <w:tcPr>
            <w:tcW w:w="1872" w:type="dxa"/>
            <w:shd w:val="clear" w:color="auto" w:fill="1F3A5F"/>
          </w:tcPr>
          <w:p w14:paraId="58E5E3D8" w14:textId="77777777" w:rsidR="001A4EDA" w:rsidRDefault="00000000">
            <w:r>
              <w:rPr>
                <w:b/>
                <w:color w:val="FFFFFF"/>
                <w:sz w:val="20"/>
              </w:rPr>
              <w:t>Agent Name</w:t>
            </w:r>
          </w:p>
        </w:tc>
        <w:tc>
          <w:tcPr>
            <w:tcW w:w="1152" w:type="dxa"/>
            <w:shd w:val="clear" w:color="auto" w:fill="1F3A5F"/>
          </w:tcPr>
          <w:p w14:paraId="0662B275" w14:textId="77777777" w:rsidR="001A4EDA" w:rsidRDefault="00000000">
            <w:r>
              <w:rPr>
                <w:b/>
                <w:color w:val="FFFFFF"/>
                <w:sz w:val="20"/>
              </w:rPr>
              <w:t>Layer</w:t>
            </w:r>
          </w:p>
        </w:tc>
        <w:tc>
          <w:tcPr>
            <w:tcW w:w="2304" w:type="dxa"/>
            <w:shd w:val="clear" w:color="auto" w:fill="1F3A5F"/>
          </w:tcPr>
          <w:p w14:paraId="1364F5F1" w14:textId="77777777" w:rsidR="001A4EDA" w:rsidRDefault="00000000">
            <w:r>
              <w:rPr>
                <w:b/>
                <w:color w:val="FFFFFF"/>
                <w:sz w:val="20"/>
              </w:rPr>
              <w:t>Function</w:t>
            </w:r>
          </w:p>
        </w:tc>
        <w:tc>
          <w:tcPr>
            <w:tcW w:w="2160" w:type="dxa"/>
            <w:shd w:val="clear" w:color="auto" w:fill="1F3A5F"/>
          </w:tcPr>
          <w:p w14:paraId="233BE450" w14:textId="77777777" w:rsidR="001A4EDA" w:rsidRDefault="00000000">
            <w:r>
              <w:rPr>
                <w:b/>
                <w:color w:val="FFFFFF"/>
                <w:sz w:val="20"/>
              </w:rPr>
              <w:t>Business Value</w:t>
            </w:r>
          </w:p>
        </w:tc>
        <w:tc>
          <w:tcPr>
            <w:tcW w:w="2160" w:type="dxa"/>
            <w:shd w:val="clear" w:color="auto" w:fill="1F3A5F"/>
          </w:tcPr>
          <w:p w14:paraId="4BB288A9" w14:textId="77777777" w:rsidR="001A4EDA" w:rsidRDefault="00000000">
            <w:r>
              <w:rPr>
                <w:b/>
                <w:color w:val="FFFFFF"/>
                <w:sz w:val="20"/>
              </w:rPr>
              <w:t>Technical Value</w:t>
            </w:r>
          </w:p>
        </w:tc>
        <w:tc>
          <w:tcPr>
            <w:tcW w:w="2592" w:type="dxa"/>
            <w:shd w:val="clear" w:color="auto" w:fill="1F3A5F"/>
          </w:tcPr>
          <w:p w14:paraId="1B318CB2" w14:textId="77777777" w:rsidR="001A4EDA" w:rsidRDefault="00000000">
            <w:r>
              <w:rPr>
                <w:b/>
                <w:color w:val="FFFFFF"/>
                <w:sz w:val="20"/>
              </w:rPr>
              <w:t>ADAM Value</w:t>
            </w:r>
          </w:p>
        </w:tc>
      </w:tr>
      <w:tr w:rsidR="001A4EDA" w14:paraId="2DEE3A69" w14:textId="77777777">
        <w:trPr>
          <w:jc w:val="center"/>
        </w:trPr>
        <w:tc>
          <w:tcPr>
            <w:tcW w:w="1872" w:type="dxa"/>
          </w:tcPr>
          <w:p w14:paraId="3358DD73" w14:textId="77777777" w:rsidR="001A4EDA" w:rsidRDefault="00000000">
            <w:r>
              <w:rPr>
                <w:sz w:val="18"/>
              </w:rPr>
              <w:t>Autonomous Archive</w:t>
            </w:r>
            <w:r>
              <w:rPr>
                <w:sz w:val="18"/>
              </w:rPr>
              <w:br/>
              <w:t>Monetization Engine</w:t>
            </w:r>
          </w:p>
        </w:tc>
        <w:tc>
          <w:tcPr>
            <w:tcW w:w="1152" w:type="dxa"/>
          </w:tcPr>
          <w:p w14:paraId="73344EA7" w14:textId="77777777" w:rsidR="001A4EDA" w:rsidRDefault="00000000">
            <w:r>
              <w:rPr>
                <w:sz w:val="18"/>
              </w:rPr>
              <w:t>Work Group</w:t>
            </w:r>
            <w:r>
              <w:rPr>
                <w:sz w:val="18"/>
              </w:rPr>
              <w:br/>
            </w:r>
            <w:r>
              <w:rPr>
                <w:sz w:val="18"/>
              </w:rPr>
              <w:t>(Content Ops)</w:t>
            </w:r>
          </w:p>
        </w:tc>
        <w:tc>
          <w:tcPr>
            <w:tcW w:w="2304" w:type="dxa"/>
          </w:tcPr>
          <w:p w14:paraId="38BA609E" w14:textId="77777777" w:rsidR="001A4EDA" w:rsidRDefault="00000000">
            <w:r>
              <w:rPr>
                <w:sz w:val="18"/>
              </w:rPr>
              <w:t>Continuously mines content archives, auto-generates enriched metadata using AI classification, identifies monetizable moments and clips, packages variants for multi-platform distribution, tracks performance.</w:t>
            </w:r>
          </w:p>
        </w:tc>
        <w:tc>
          <w:tcPr>
            <w:tcW w:w="2160" w:type="dxa"/>
          </w:tcPr>
          <w:p w14:paraId="6119624A" w14:textId="77777777" w:rsidR="001A4EDA" w:rsidRDefault="00000000">
            <w:r>
              <w:rPr>
                <w:sz w:val="18"/>
              </w:rPr>
              <w:t>Unlocks stranded revenue from underutilized archives. Industry analysts estimate 60–80% of media archive content is unmonetized. Automated discovery and packaging converts cost centers into revenue streams without additional headcount.</w:t>
            </w:r>
          </w:p>
        </w:tc>
        <w:tc>
          <w:tcPr>
            <w:tcW w:w="2160" w:type="dxa"/>
          </w:tcPr>
          <w:p w14:paraId="25DCA95F" w14:textId="77777777" w:rsidR="001A4EDA" w:rsidRDefault="00000000">
            <w:r>
              <w:rPr>
                <w:sz w:val="18"/>
              </w:rPr>
              <w:t>AI-driven scene detection, speech-to-text, sentiment analysis, and automated packaging pipelines integrated with CDN pre-warming and distribution APIs. Checkpointed idempotent flows prevent double-publish.</w:t>
            </w:r>
          </w:p>
        </w:tc>
        <w:tc>
          <w:tcPr>
            <w:tcW w:w="2592" w:type="dxa"/>
          </w:tcPr>
          <w:p w14:paraId="1D5A57FD" w14:textId="77777777" w:rsidR="001A4EDA" w:rsidRDefault="00000000">
            <w:r>
              <w:rPr>
                <w:sz w:val="18"/>
              </w:rPr>
              <w:t>Operates under BOSS scoring with Rights Certainty as a critical dimension. No content is distributed without Cryptographic Authorization Vault clearance. Every monetization action is Flight Recorder-evidenced with full rights provenance.</w:t>
            </w:r>
          </w:p>
        </w:tc>
      </w:tr>
      <w:tr w:rsidR="001A4EDA" w14:paraId="19089774" w14:textId="77777777">
        <w:trPr>
          <w:jc w:val="center"/>
        </w:trPr>
        <w:tc>
          <w:tcPr>
            <w:tcW w:w="1872" w:type="dxa"/>
            <w:shd w:val="clear" w:color="auto" w:fill="F2F5F8"/>
          </w:tcPr>
          <w:p w14:paraId="27439C26" w14:textId="77777777" w:rsidR="001A4EDA" w:rsidRDefault="00000000">
            <w:r>
              <w:rPr>
                <w:sz w:val="18"/>
              </w:rPr>
              <w:t>Trusted News Agent Mesh</w:t>
            </w:r>
            <w:r>
              <w:rPr>
                <w:sz w:val="18"/>
              </w:rPr>
              <w:br/>
              <w:t>(Editorial Governance)</w:t>
            </w:r>
          </w:p>
        </w:tc>
        <w:tc>
          <w:tcPr>
            <w:tcW w:w="1152" w:type="dxa"/>
            <w:shd w:val="clear" w:color="auto" w:fill="F2F5F8"/>
          </w:tcPr>
          <w:p w14:paraId="67CA14A6" w14:textId="77777777" w:rsidR="001A4EDA" w:rsidRDefault="00000000">
            <w:r>
              <w:rPr>
                <w:sz w:val="18"/>
              </w:rPr>
              <w:t>Work Group</w:t>
            </w:r>
            <w:r>
              <w:rPr>
                <w:sz w:val="18"/>
              </w:rPr>
              <w:br/>
              <w:t>(Editorial)</w:t>
            </w:r>
          </w:p>
        </w:tc>
        <w:tc>
          <w:tcPr>
            <w:tcW w:w="2304" w:type="dxa"/>
            <w:shd w:val="clear" w:color="auto" w:fill="F2F5F8"/>
          </w:tcPr>
          <w:p w14:paraId="4E872302" w14:textId="77777777" w:rsidR="001A4EDA" w:rsidRDefault="00000000">
            <w:r>
              <w:rPr>
                <w:sz w:val="18"/>
              </w:rPr>
              <w:t>Generates multilingual explainers, Q&amp;A responses, summaries, and news packages. Every output is traceable, labeled for AI involvement, governed for editorial standards and trust. Conforms to EBU editorial AI principles.</w:t>
            </w:r>
          </w:p>
        </w:tc>
        <w:tc>
          <w:tcPr>
            <w:tcW w:w="2160" w:type="dxa"/>
            <w:shd w:val="clear" w:color="auto" w:fill="F2F5F8"/>
          </w:tcPr>
          <w:p w14:paraId="3156E37C" w14:textId="77777777" w:rsidR="001A4EDA" w:rsidRDefault="00000000">
            <w:r>
              <w:rPr>
                <w:sz w:val="18"/>
              </w:rPr>
              <w:t xml:space="preserve">Scales newsroom output across languages and formats while maintaining editorial trust—the single most valuable asset a news organization possesses. Reduces time-to-publish for breaking news by 70–85% while maintaining attribution and </w:t>
            </w:r>
            <w:r>
              <w:rPr>
                <w:sz w:val="18"/>
              </w:rPr>
              <w:lastRenderedPageBreak/>
              <w:t>sourcing standards.</w:t>
            </w:r>
          </w:p>
        </w:tc>
        <w:tc>
          <w:tcPr>
            <w:tcW w:w="2160" w:type="dxa"/>
            <w:shd w:val="clear" w:color="auto" w:fill="F2F5F8"/>
          </w:tcPr>
          <w:p w14:paraId="6D61EB21" w14:textId="79D86EFF" w:rsidR="001A4EDA" w:rsidRDefault="00000000">
            <w:r>
              <w:rPr>
                <w:sz w:val="18"/>
              </w:rPr>
              <w:lastRenderedPageBreak/>
              <w:t>Multi-model verification (</w:t>
            </w:r>
            <w:r w:rsidR="00430777">
              <w:rPr>
                <w:sz w:val="18"/>
              </w:rPr>
              <w:t>AGT</w:t>
            </w:r>
            <w:r>
              <w:rPr>
                <w:sz w:val="18"/>
              </w:rPr>
              <w:t xml:space="preserve"> Cross-Model Verification Kernel) ensures no single model hallucination reaches publication. Source attribution chains are cryptographically anchored. AI content labeling metadata is automatically embedded per EU AI Act requirements.</w:t>
            </w:r>
          </w:p>
        </w:tc>
        <w:tc>
          <w:tcPr>
            <w:tcW w:w="2592" w:type="dxa"/>
            <w:shd w:val="clear" w:color="auto" w:fill="F2F5F8"/>
          </w:tcPr>
          <w:p w14:paraId="60863E15" w14:textId="77777777" w:rsidR="001A4EDA" w:rsidRDefault="00000000">
            <w:r>
              <w:rPr>
                <w:sz w:val="18"/>
              </w:rPr>
              <w:t xml:space="preserve">Trust constraints are encoded as BOSS dimensions. Editorial standards are doctrine, not guidelines—versioned, enforced at runtime, and auditable. Every published output traces to source material, model version, editorial policy version, and </w:t>
            </w:r>
            <w:r>
              <w:rPr>
                <w:sz w:val="18"/>
              </w:rPr>
              <w:lastRenderedPageBreak/>
              <w:t>authorization state.</w:t>
            </w:r>
          </w:p>
        </w:tc>
      </w:tr>
      <w:tr w:rsidR="001A4EDA" w14:paraId="62261D29" w14:textId="77777777">
        <w:trPr>
          <w:jc w:val="center"/>
        </w:trPr>
        <w:tc>
          <w:tcPr>
            <w:tcW w:w="1872" w:type="dxa"/>
          </w:tcPr>
          <w:p w14:paraId="79A6FF39" w14:textId="77777777" w:rsidR="001A4EDA" w:rsidRDefault="00000000">
            <w:r>
              <w:rPr>
                <w:sz w:val="18"/>
              </w:rPr>
              <w:lastRenderedPageBreak/>
              <w:t>Self-Healing Live Production</w:t>
            </w:r>
            <w:r>
              <w:rPr>
                <w:sz w:val="18"/>
              </w:rPr>
              <w:br/>
              <w:t>Orchestrator</w:t>
            </w:r>
          </w:p>
        </w:tc>
        <w:tc>
          <w:tcPr>
            <w:tcW w:w="1152" w:type="dxa"/>
          </w:tcPr>
          <w:p w14:paraId="169A35DB" w14:textId="77777777" w:rsidR="001A4EDA" w:rsidRDefault="00000000">
            <w:r>
              <w:rPr>
                <w:sz w:val="18"/>
              </w:rPr>
              <w:t>Work Group</w:t>
            </w:r>
            <w:r>
              <w:rPr>
                <w:sz w:val="18"/>
              </w:rPr>
              <w:br/>
              <w:t>(Technical Ops)</w:t>
            </w:r>
          </w:p>
        </w:tc>
        <w:tc>
          <w:tcPr>
            <w:tcW w:w="2304" w:type="dxa"/>
          </w:tcPr>
          <w:p w14:paraId="3510C7AF" w14:textId="77777777" w:rsidR="001A4EDA" w:rsidRDefault="00000000">
            <w:r>
              <w:rPr>
                <w:sz w:val="18"/>
              </w:rPr>
              <w:t>Autonomous control room orchestration: dynamically discovers NMOS endpoints (IS-04), establishes connections (IS-05), manages stream compatibility (IS-11), and recovers from faults in multi-vendor IP environments per SMPTE ST 2110.</w:t>
            </w:r>
          </w:p>
        </w:tc>
        <w:tc>
          <w:tcPr>
            <w:tcW w:w="2160" w:type="dxa"/>
          </w:tcPr>
          <w:p w14:paraId="5FC95618" w14:textId="77777777" w:rsidR="001A4EDA" w:rsidRDefault="00000000">
            <w:r>
              <w:rPr>
                <w:sz w:val="18"/>
              </w:rPr>
              <w:t>Eliminates the single point of failure in live production: the human operator who must detect, diagnose, and reroute during a live broadcast within seconds. Reduces mean-time-to-recover from minutes to sub-second for IP fabric faults.</w:t>
            </w:r>
          </w:p>
        </w:tc>
        <w:tc>
          <w:tcPr>
            <w:tcW w:w="2160" w:type="dxa"/>
          </w:tcPr>
          <w:p w14:paraId="49F8C889" w14:textId="77777777" w:rsidR="001A4EDA" w:rsidRDefault="00000000">
            <w:r>
              <w:rPr>
                <w:sz w:val="18"/>
              </w:rPr>
              <w:t>NMOS IS-04 discovery/registration, IS-05 connection management, IS-06 network control, IS-07 event/tally, IS-11 stream compatibility management. PTP synchronization monitoring (ST 2110-10). Fault detection via OpenTelemetry traces across the media fabric.</w:t>
            </w:r>
          </w:p>
        </w:tc>
        <w:tc>
          <w:tcPr>
            <w:tcW w:w="2592" w:type="dxa"/>
          </w:tcPr>
          <w:p w14:paraId="6832063C" w14:textId="77777777" w:rsidR="001A4EDA" w:rsidRDefault="00000000">
            <w:r>
              <w:rPr>
                <w:sz w:val="18"/>
              </w:rPr>
              <w:t>Live production actions score high on BOSS Reputational Risk (live audience impact) and Financial Exposure (broadcast penalties). ADAM’s Exception Economy routes complex routing decisions to human operators only when BOSS thresholds are crossed—not for every signal path change.</w:t>
            </w:r>
          </w:p>
        </w:tc>
      </w:tr>
      <w:tr w:rsidR="001A4EDA" w14:paraId="2729C1DF" w14:textId="77777777">
        <w:trPr>
          <w:jc w:val="center"/>
        </w:trPr>
        <w:tc>
          <w:tcPr>
            <w:tcW w:w="1872" w:type="dxa"/>
            <w:shd w:val="clear" w:color="auto" w:fill="F2F5F8"/>
          </w:tcPr>
          <w:p w14:paraId="6B39A747" w14:textId="77777777" w:rsidR="001A4EDA" w:rsidRDefault="00000000">
            <w:r>
              <w:rPr>
                <w:sz w:val="18"/>
              </w:rPr>
              <w:t>Autonomous Rights &amp;</w:t>
            </w:r>
            <w:r>
              <w:rPr>
                <w:sz w:val="18"/>
              </w:rPr>
              <w:br/>
              <w:t>Licensing Broker</w:t>
            </w:r>
          </w:p>
        </w:tc>
        <w:tc>
          <w:tcPr>
            <w:tcW w:w="1152" w:type="dxa"/>
            <w:shd w:val="clear" w:color="auto" w:fill="F2F5F8"/>
          </w:tcPr>
          <w:p w14:paraId="1DD33286" w14:textId="77777777" w:rsidR="001A4EDA" w:rsidRDefault="00000000">
            <w:r>
              <w:rPr>
                <w:sz w:val="18"/>
              </w:rPr>
              <w:t>Work Group</w:t>
            </w:r>
            <w:r>
              <w:rPr>
                <w:sz w:val="18"/>
              </w:rPr>
              <w:br/>
              <w:t>(Legal/Rights)</w:t>
            </w:r>
          </w:p>
        </w:tc>
        <w:tc>
          <w:tcPr>
            <w:tcW w:w="2304" w:type="dxa"/>
            <w:shd w:val="clear" w:color="auto" w:fill="F2F5F8"/>
          </w:tcPr>
          <w:p w14:paraId="4A460F87" w14:textId="77777777" w:rsidR="001A4EDA" w:rsidRDefault="00000000">
            <w:r>
              <w:rPr>
                <w:sz w:val="18"/>
              </w:rPr>
              <w:t>Negotiates, licenses, and enforces content rights at scale. Interfaces with content owners, platforms, and collection societies. Manages territorial rights, holdbacks, exclusivity windows, and renewal tracking.</w:t>
            </w:r>
          </w:p>
        </w:tc>
        <w:tc>
          <w:tcPr>
            <w:tcW w:w="2160" w:type="dxa"/>
            <w:shd w:val="clear" w:color="auto" w:fill="F2F5F8"/>
          </w:tcPr>
          <w:p w14:paraId="7CCE8781" w14:textId="77777777" w:rsidR="001A4EDA" w:rsidRDefault="00000000">
            <w:r>
              <w:rPr>
                <w:sz w:val="18"/>
              </w:rPr>
              <w:t>Rights management is the single largest source of financial and legal risk in media. Manual rights clearance creates bottlenecks that delay content availability by days or weeks. Automated brokerage with Cryptographic Authorization Vault-backed proof of clearance accelerates time-to-market while eliminating unauthorized distribution.</w:t>
            </w:r>
          </w:p>
        </w:tc>
        <w:tc>
          <w:tcPr>
            <w:tcW w:w="2160" w:type="dxa"/>
            <w:shd w:val="clear" w:color="auto" w:fill="F2F5F8"/>
          </w:tcPr>
          <w:p w14:paraId="1A315B6C" w14:textId="77777777" w:rsidR="001A4EDA" w:rsidRDefault="00000000">
            <w:r>
              <w:rPr>
                <w:sz w:val="18"/>
              </w:rPr>
              <w:t>Authorization policies in the Cryptographic Authorization Vault encode territorial scope, duration, exclusivity, and holdback terms as executable constraints. Integration with rights databases, collection societies (CISAC members), and platform APIs.</w:t>
            </w:r>
          </w:p>
        </w:tc>
        <w:tc>
          <w:tcPr>
            <w:tcW w:w="2592" w:type="dxa"/>
            <w:shd w:val="clear" w:color="auto" w:fill="F2F5F8"/>
          </w:tcPr>
          <w:p w14:paraId="728D05F0" w14:textId="77777777" w:rsidR="001A4EDA" w:rsidRDefault="00000000">
            <w:r>
              <w:rPr>
                <w:sz w:val="18"/>
              </w:rPr>
              <w:t>Every rights decision is Cryptographic Authorization Vault-evidenced. BOSS Rights Certainty dimension triggers escalation when entitlements are ambiguous, expired, or contested. The Flight Recorder creates an immutable audit trail for every rights-related action—defensible in court, not just in meetings.</w:t>
            </w:r>
          </w:p>
        </w:tc>
      </w:tr>
      <w:tr w:rsidR="001A4EDA" w14:paraId="1A736F65" w14:textId="77777777">
        <w:trPr>
          <w:jc w:val="center"/>
        </w:trPr>
        <w:tc>
          <w:tcPr>
            <w:tcW w:w="1872" w:type="dxa"/>
          </w:tcPr>
          <w:p w14:paraId="07FF6141" w14:textId="77777777" w:rsidR="001A4EDA" w:rsidRDefault="00000000">
            <w:r>
              <w:rPr>
                <w:sz w:val="18"/>
              </w:rPr>
              <w:t>Content Attribution &amp;</w:t>
            </w:r>
            <w:r>
              <w:rPr>
                <w:sz w:val="18"/>
              </w:rPr>
              <w:br/>
              <w:t>Verification Agent</w:t>
            </w:r>
          </w:p>
        </w:tc>
        <w:tc>
          <w:tcPr>
            <w:tcW w:w="1152" w:type="dxa"/>
          </w:tcPr>
          <w:p w14:paraId="6B42BAE6" w14:textId="77777777" w:rsidR="001A4EDA" w:rsidRDefault="00000000">
            <w:r>
              <w:rPr>
                <w:sz w:val="18"/>
              </w:rPr>
              <w:t>Work Group</w:t>
            </w:r>
            <w:r>
              <w:rPr>
                <w:sz w:val="18"/>
              </w:rPr>
              <w:br/>
              <w:t>(Compliance)</w:t>
            </w:r>
          </w:p>
        </w:tc>
        <w:tc>
          <w:tcPr>
            <w:tcW w:w="2304" w:type="dxa"/>
          </w:tcPr>
          <w:p w14:paraId="7A0903E9" w14:textId="77777777" w:rsidR="001A4EDA" w:rsidRDefault="00000000">
            <w:r>
              <w:rPr>
                <w:sz w:val="18"/>
              </w:rPr>
              <w:t xml:space="preserve">Ensures all distributed content carries </w:t>
            </w:r>
            <w:r>
              <w:rPr>
                <w:sz w:val="18"/>
              </w:rPr>
              <w:t xml:space="preserve">proper attribution, provenance metadata, and AI content labeling. Verifies creator releases, usage permissions, and compliance with </w:t>
            </w:r>
            <w:r>
              <w:rPr>
                <w:sz w:val="18"/>
              </w:rPr>
              <w:lastRenderedPageBreak/>
              <w:t>platform-specific attribution requirements.</w:t>
            </w:r>
          </w:p>
        </w:tc>
        <w:tc>
          <w:tcPr>
            <w:tcW w:w="2160" w:type="dxa"/>
          </w:tcPr>
          <w:p w14:paraId="46E7F350" w14:textId="77777777" w:rsidR="001A4EDA" w:rsidRDefault="00000000">
            <w:r>
              <w:rPr>
                <w:sz w:val="18"/>
              </w:rPr>
              <w:lastRenderedPageBreak/>
              <w:t xml:space="preserve">Attribution errors create legal liability, creator relationship damage, and regulatory exposure under the EU AI Act’s transparency requirements. Automated verification </w:t>
            </w:r>
            <w:r>
              <w:rPr>
                <w:sz w:val="18"/>
              </w:rPr>
              <w:lastRenderedPageBreak/>
              <w:t>prevents attribution failures from reaching distribution.</w:t>
            </w:r>
          </w:p>
        </w:tc>
        <w:tc>
          <w:tcPr>
            <w:tcW w:w="2160" w:type="dxa"/>
          </w:tcPr>
          <w:p w14:paraId="4B6E0CAB" w14:textId="77777777" w:rsidR="001A4EDA" w:rsidRDefault="00000000">
            <w:r>
              <w:rPr>
                <w:sz w:val="18"/>
              </w:rPr>
              <w:lastRenderedPageBreak/>
              <w:t>Cryptographic provenance chains using C2PA (Coalition for Content Provenance and Authenticity) standards. Automated metadata enrichment and validation against creator databases and release records.</w:t>
            </w:r>
          </w:p>
        </w:tc>
        <w:tc>
          <w:tcPr>
            <w:tcW w:w="2592" w:type="dxa"/>
          </w:tcPr>
          <w:p w14:paraId="57E8D655" w14:textId="77777777" w:rsidR="001A4EDA" w:rsidRDefault="00000000">
            <w:r>
              <w:rPr>
                <w:sz w:val="18"/>
              </w:rPr>
              <w:t xml:space="preserve">Attribution verification is a pre-execution gate in ADAM’s policy pipeline. No content reaches distribution without passing attribution verification. Failures generate structured </w:t>
            </w:r>
            <w:r>
              <w:rPr>
                <w:sz w:val="18"/>
              </w:rPr>
              <w:lastRenderedPageBreak/>
              <w:t>exception packets with full context for the Legal Director.</w:t>
            </w:r>
          </w:p>
        </w:tc>
      </w:tr>
      <w:tr w:rsidR="001A4EDA" w14:paraId="409DCB04" w14:textId="77777777">
        <w:trPr>
          <w:jc w:val="center"/>
        </w:trPr>
        <w:tc>
          <w:tcPr>
            <w:tcW w:w="1872" w:type="dxa"/>
            <w:shd w:val="clear" w:color="auto" w:fill="F2F5F8"/>
          </w:tcPr>
          <w:p w14:paraId="59853A79" w14:textId="77777777" w:rsidR="001A4EDA" w:rsidRDefault="00000000">
            <w:r>
              <w:rPr>
                <w:sz w:val="18"/>
              </w:rPr>
              <w:lastRenderedPageBreak/>
              <w:t>Audience Intelligence &amp;</w:t>
            </w:r>
            <w:r>
              <w:rPr>
                <w:sz w:val="18"/>
              </w:rPr>
              <w:br/>
              <w:t>Personalization Governor</w:t>
            </w:r>
          </w:p>
        </w:tc>
        <w:tc>
          <w:tcPr>
            <w:tcW w:w="1152" w:type="dxa"/>
            <w:shd w:val="clear" w:color="auto" w:fill="F2F5F8"/>
          </w:tcPr>
          <w:p w14:paraId="67212A6B" w14:textId="77777777" w:rsidR="001A4EDA" w:rsidRDefault="00000000">
            <w:r>
              <w:rPr>
                <w:sz w:val="18"/>
              </w:rPr>
              <w:t>Governor Agent</w:t>
            </w:r>
            <w:r>
              <w:rPr>
                <w:sz w:val="18"/>
              </w:rPr>
              <w:br/>
              <w:t>(Market Domain)</w:t>
            </w:r>
          </w:p>
        </w:tc>
        <w:tc>
          <w:tcPr>
            <w:tcW w:w="2304" w:type="dxa"/>
            <w:shd w:val="clear" w:color="auto" w:fill="F2F5F8"/>
          </w:tcPr>
          <w:p w14:paraId="7E652B60" w14:textId="77777777" w:rsidR="001A4EDA" w:rsidRDefault="00000000">
            <w:r>
              <w:rPr>
                <w:sz w:val="18"/>
              </w:rPr>
              <w:t>Governs audience data usage, personalization algorithms, and targeting decisions across all distribution channels. Ensures GDPR/ePrivacy compliance for audience profiling. Manages consent state across jurisdictions.</w:t>
            </w:r>
          </w:p>
        </w:tc>
        <w:tc>
          <w:tcPr>
            <w:tcW w:w="2160" w:type="dxa"/>
            <w:shd w:val="clear" w:color="auto" w:fill="F2F5F8"/>
          </w:tcPr>
          <w:p w14:paraId="0A3E0048" w14:textId="77777777" w:rsidR="001A4EDA" w:rsidRDefault="00000000">
            <w:r>
              <w:rPr>
                <w:sz w:val="18"/>
              </w:rPr>
              <w:t>Personalization drives engagement and revenue but creates regulatory exposure across every jurisdiction where content is distributed. A single consent violation can trigger GDPR penalties of up to 4% of global revenue.</w:t>
            </w:r>
          </w:p>
        </w:tc>
        <w:tc>
          <w:tcPr>
            <w:tcW w:w="2160" w:type="dxa"/>
            <w:shd w:val="clear" w:color="auto" w:fill="F2F5F8"/>
          </w:tcPr>
          <w:p w14:paraId="079D8E1F" w14:textId="77777777" w:rsidR="001A4EDA" w:rsidRDefault="00000000">
            <w:r>
              <w:rPr>
                <w:sz w:val="18"/>
              </w:rPr>
              <w:t>Consent management integration via IAB TCF 2.2 and platform-specific consent APIs. Jurisdiction-aware targeting policies that adjust personalization depth based on territorial regulatory requirements. Real-time consent state verification before any audience data processing.</w:t>
            </w:r>
          </w:p>
        </w:tc>
        <w:tc>
          <w:tcPr>
            <w:tcW w:w="2592" w:type="dxa"/>
            <w:shd w:val="clear" w:color="auto" w:fill="F2F5F8"/>
          </w:tcPr>
          <w:p w14:paraId="4261E512" w14:textId="77777777" w:rsidR="001A4EDA" w:rsidRDefault="00000000">
            <w:r>
              <w:rPr>
                <w:sz w:val="18"/>
              </w:rPr>
              <w:t>Audience data operations score on BOSS Regulatory Impact and Reputational Risk dimensions. Consent state is verified via the Cryptographic Authorization Vault before every personalization action. The Flight Recorder captures consent verification evidence for every audience interaction at scale.</w:t>
            </w:r>
          </w:p>
        </w:tc>
      </w:tr>
      <w:tr w:rsidR="001A4EDA" w14:paraId="5C5BF870" w14:textId="77777777">
        <w:trPr>
          <w:jc w:val="center"/>
        </w:trPr>
        <w:tc>
          <w:tcPr>
            <w:tcW w:w="1872" w:type="dxa"/>
          </w:tcPr>
          <w:p w14:paraId="00822C61" w14:textId="77777777" w:rsidR="001A4EDA" w:rsidRDefault="00000000">
            <w:r>
              <w:rPr>
                <w:sz w:val="18"/>
              </w:rPr>
              <w:t>Multi-Platform Distribution</w:t>
            </w:r>
            <w:r>
              <w:rPr>
                <w:sz w:val="18"/>
              </w:rPr>
              <w:br/>
              <w:t>Orchestrator</w:t>
            </w:r>
          </w:p>
        </w:tc>
        <w:tc>
          <w:tcPr>
            <w:tcW w:w="1152" w:type="dxa"/>
          </w:tcPr>
          <w:p w14:paraId="1CED2323" w14:textId="77777777" w:rsidR="001A4EDA" w:rsidRDefault="00000000">
            <w:r>
              <w:rPr>
                <w:sz w:val="18"/>
              </w:rPr>
              <w:t>Work Group</w:t>
            </w:r>
            <w:r>
              <w:rPr>
                <w:sz w:val="18"/>
              </w:rPr>
              <w:br/>
              <w:t>(Distribution)</w:t>
            </w:r>
          </w:p>
        </w:tc>
        <w:tc>
          <w:tcPr>
            <w:tcW w:w="2304" w:type="dxa"/>
          </w:tcPr>
          <w:p w14:paraId="5069BB66" w14:textId="77777777" w:rsidR="001A4EDA" w:rsidRDefault="00000000">
            <w:r>
              <w:rPr>
                <w:sz w:val="18"/>
              </w:rPr>
              <w:t>Orchestrates content distribution across OTT platforms, linear broadcast, FAST channels, social media, and partner feeds. Manages format transcoding, metadata adaptation, and platform-specific requirements.</w:t>
            </w:r>
          </w:p>
        </w:tc>
        <w:tc>
          <w:tcPr>
            <w:tcW w:w="2160" w:type="dxa"/>
          </w:tcPr>
          <w:p w14:paraId="03471A8D" w14:textId="77777777" w:rsidR="001A4EDA" w:rsidRDefault="00000000">
            <w:r>
              <w:rPr>
                <w:sz w:val="18"/>
              </w:rPr>
              <w:t>Distribution complexity grows combinatorially with platforms and territories. Manual orchestration cannot scale to hundreds of platform-territory combinations without errors, delays, or missed windows.</w:t>
            </w:r>
          </w:p>
        </w:tc>
        <w:tc>
          <w:tcPr>
            <w:tcW w:w="2160" w:type="dxa"/>
          </w:tcPr>
          <w:p w14:paraId="59D250F6" w14:textId="77777777" w:rsidR="001A4EDA" w:rsidRDefault="00000000">
            <w:r>
              <w:rPr>
                <w:sz w:val="18"/>
              </w:rPr>
              <w:t>Platform API integration with adaptive transcoding pipelines. Idempotent distribution flows with checkpoint-and-resume semantics. CDN pre-warming orchestration. Automated quality verification before publication.</w:t>
            </w:r>
          </w:p>
        </w:tc>
        <w:tc>
          <w:tcPr>
            <w:tcW w:w="2592" w:type="dxa"/>
          </w:tcPr>
          <w:p w14:paraId="7478E0FB" w14:textId="77777777" w:rsidR="001A4EDA" w:rsidRDefault="00000000">
            <w:r>
              <w:rPr>
                <w:sz w:val="18"/>
              </w:rPr>
              <w:t>Every distribution action carries a BOSS score. The idempotency framework prevents double-publish across all platforms. Distribution to each territory requires Cryptographic Authorization Vault rights clearance. Evidence of every distribution action is Flight Recorder-captured.</w:t>
            </w:r>
          </w:p>
        </w:tc>
      </w:tr>
      <w:tr w:rsidR="001A4EDA" w14:paraId="7E3A8EA0" w14:textId="77777777">
        <w:trPr>
          <w:jc w:val="center"/>
        </w:trPr>
        <w:tc>
          <w:tcPr>
            <w:tcW w:w="1872" w:type="dxa"/>
            <w:shd w:val="clear" w:color="auto" w:fill="F2F5F8"/>
          </w:tcPr>
          <w:p w14:paraId="4F56D93F" w14:textId="77777777" w:rsidR="001A4EDA" w:rsidRDefault="00000000">
            <w:r>
              <w:rPr>
                <w:sz w:val="18"/>
              </w:rPr>
              <w:t>Financial Reconciliation &amp;</w:t>
            </w:r>
            <w:r>
              <w:rPr>
                <w:sz w:val="18"/>
              </w:rPr>
              <w:br/>
              <w:t>Royalty Agent</w:t>
            </w:r>
          </w:p>
        </w:tc>
        <w:tc>
          <w:tcPr>
            <w:tcW w:w="1152" w:type="dxa"/>
            <w:shd w:val="clear" w:color="auto" w:fill="F2F5F8"/>
          </w:tcPr>
          <w:p w14:paraId="51D929B1" w14:textId="77777777" w:rsidR="001A4EDA" w:rsidRDefault="00000000">
            <w:r>
              <w:rPr>
                <w:sz w:val="18"/>
              </w:rPr>
              <w:t>Work Group</w:t>
            </w:r>
            <w:r>
              <w:rPr>
                <w:sz w:val="18"/>
              </w:rPr>
              <w:br/>
              <w:t>(Finance)</w:t>
            </w:r>
          </w:p>
        </w:tc>
        <w:tc>
          <w:tcPr>
            <w:tcW w:w="2304" w:type="dxa"/>
            <w:shd w:val="clear" w:color="auto" w:fill="F2F5F8"/>
          </w:tcPr>
          <w:p w14:paraId="1321430B" w14:textId="77777777" w:rsidR="001A4EDA" w:rsidRDefault="00000000">
            <w:r>
              <w:rPr>
                <w:sz w:val="18"/>
              </w:rPr>
              <w:t>Automates royalty calculations, partner settlements, advertising revenue reconciliation, and financial reporting across all revenue streams. Manages complex rev-</w:t>
            </w:r>
            <w:r>
              <w:rPr>
                <w:sz w:val="18"/>
              </w:rPr>
              <w:lastRenderedPageBreak/>
              <w:t>share models with content partners.</w:t>
            </w:r>
          </w:p>
        </w:tc>
        <w:tc>
          <w:tcPr>
            <w:tcW w:w="2160" w:type="dxa"/>
            <w:shd w:val="clear" w:color="auto" w:fill="F2F5F8"/>
          </w:tcPr>
          <w:p w14:paraId="7E15CB5E" w14:textId="77777777" w:rsidR="001A4EDA" w:rsidRDefault="00000000">
            <w:r>
              <w:rPr>
                <w:sz w:val="18"/>
              </w:rPr>
              <w:lastRenderedPageBreak/>
              <w:t xml:space="preserve">Media financial operations involve thousands of micro-transactions (ad impressions, per-view royalties) alongside macro-commitments (output deals, minimum guarantees). </w:t>
            </w:r>
            <w:r>
              <w:rPr>
                <w:sz w:val="18"/>
              </w:rPr>
              <w:lastRenderedPageBreak/>
              <w:t>Manual reconciliation creates delays, errors, and partner disputes.</w:t>
            </w:r>
          </w:p>
        </w:tc>
        <w:tc>
          <w:tcPr>
            <w:tcW w:w="2160" w:type="dxa"/>
            <w:shd w:val="clear" w:color="auto" w:fill="F2F5F8"/>
          </w:tcPr>
          <w:p w14:paraId="2527D534" w14:textId="77777777" w:rsidR="001A4EDA" w:rsidRDefault="00000000">
            <w:r>
              <w:rPr>
                <w:sz w:val="18"/>
              </w:rPr>
              <w:lastRenderedPageBreak/>
              <w:t xml:space="preserve">Idempotent financial settlement with deterministic idempotency keys (partner ID, period, amount, currency). Integration with payment processors, advertising platforms, and collection societies. Real-time budget consumption </w:t>
            </w:r>
            <w:r>
              <w:rPr>
                <w:sz w:val="18"/>
              </w:rPr>
              <w:lastRenderedPageBreak/>
              <w:t>tracking against autonomy budgets.</w:t>
            </w:r>
          </w:p>
        </w:tc>
        <w:tc>
          <w:tcPr>
            <w:tcW w:w="2592" w:type="dxa"/>
            <w:shd w:val="clear" w:color="auto" w:fill="F2F5F8"/>
          </w:tcPr>
          <w:p w14:paraId="042AEFB4" w14:textId="77777777" w:rsidR="001A4EDA" w:rsidRDefault="00000000">
            <w:r>
              <w:rPr>
                <w:sz w:val="18"/>
              </w:rPr>
              <w:lastRenderedPageBreak/>
              <w:t xml:space="preserve">BOSS Financial Exposure scoring prevents unauthorized spend. The Non-Idempotent Penalty (+15) applies to any financial action routed through systems that do not support idempotency keys. </w:t>
            </w:r>
            <w:r>
              <w:rPr>
                <w:sz w:val="18"/>
              </w:rPr>
              <w:lastRenderedPageBreak/>
              <w:t>Every settlement is Cryptographic Authorization Vault-authorized and Flight Recorder-evidenced.</w:t>
            </w:r>
          </w:p>
        </w:tc>
      </w:tr>
    </w:tbl>
    <w:p w14:paraId="277E7FD8" w14:textId="77777777" w:rsidR="001A4EDA" w:rsidRDefault="001A4EDA"/>
    <w:p w14:paraId="3AFB54B7" w14:textId="77777777" w:rsidR="001A4EDA" w:rsidRDefault="00000000">
      <w:r>
        <w:t xml:space="preserve">The eight media agents defined above integrate into ADAM’s existing five-layer agent mesh, bringing the </w:t>
      </w:r>
      <w:r w:rsidRPr="003C18A9">
        <w:rPr>
          <w:b/>
          <w:bCs/>
        </w:rPr>
        <w:t>total agent count for a media deployment to 89.</w:t>
      </w:r>
      <w:r>
        <w:t xml:space="preserve"> Governor Agents—such as the Audience Intelligence &amp; Personalization Governor—sit at the Domain Governance layer and orchestrate decisions across their domain. Work Group agents execute specialized functions within the governance boundaries set by their Governor Agent and the 5-Director Constitution.</w:t>
      </w:r>
    </w:p>
    <w:tbl>
      <w:tblPr>
        <w:tblW w:w="0" w:type="auto"/>
        <w:jc w:val="center"/>
        <w:tblLook w:val="04A0" w:firstRow="1" w:lastRow="0" w:firstColumn="1" w:lastColumn="0" w:noHBand="0" w:noVBand="1"/>
      </w:tblPr>
      <w:tblGrid>
        <w:gridCol w:w="9360"/>
      </w:tblGrid>
      <w:tr w:rsidR="001A4EDA" w14:paraId="3D78155E" w14:textId="77777777">
        <w:trPr>
          <w:jc w:val="center"/>
        </w:trPr>
        <w:tc>
          <w:tcPr>
            <w:tcW w:w="9360" w:type="dxa"/>
            <w:shd w:val="clear" w:color="auto" w:fill="FFF3E0"/>
          </w:tcPr>
          <w:p w14:paraId="56EDC2C0" w14:textId="77777777" w:rsidR="001A4EDA" w:rsidRDefault="00000000">
            <w:r>
              <w:rPr>
                <w:b/>
                <w:color w:val="8B5E00"/>
              </w:rPr>
              <w:t>SCENARIO: NetStreamX — Archive Monetization in Action</w:t>
            </w:r>
          </w:p>
          <w:p w14:paraId="7A552A85" w14:textId="77777777" w:rsidR="001A4EDA" w:rsidRDefault="00000000">
            <w:r>
              <w:rPr>
                <w:sz w:val="20"/>
              </w:rPr>
              <w:t>NetStreamX acquires the back catalog of a defunct European sports broadcaster—12,000 hours of football, cycling, and athletics footage spanning 1998–2019. The content sits in cold storage, costing €40,000/month with zero revenue.</w:t>
            </w:r>
          </w:p>
          <w:p w14:paraId="304D2A4D" w14:textId="77777777" w:rsidR="001A4EDA" w:rsidRDefault="00000000">
            <w:r>
              <w:rPr>
                <w:sz w:val="20"/>
              </w:rPr>
              <w:t>ADAM’s Autonomous Archive Monetization Engine begins processing: AI scene detection identifies 84,000 individually monetizable clips. Speech-to-text extracts commentary in 6 languages. Sentiment analysis tags emotional peaks. The engine auto-packages "Greatest Goals" compilations, athlete highlight reels, and historical match summaries.</w:t>
            </w:r>
          </w:p>
          <w:p w14:paraId="1B5C9ABA" w14:textId="77777777" w:rsidR="001A4EDA" w:rsidRDefault="00000000">
            <w:r>
              <w:rPr>
                <w:sz w:val="20"/>
              </w:rPr>
              <w:t>Before any clip reaches distribution, the Rights &amp; Licensing Broker verifies each clip against the Cryptographic Authorization Vault. 2,100 clips are flagged: athlete image rights for 340 clips expired in 2015, music rights for stadium anthem footage are unresolved in 1,760 clips. BOSS scores: expired athlete rights = 48 (ELEVATED), unresolved music = 62 (HIGH). The Legal Director receives structured exception packets. The remaining 81,900 clips enter distribution. Within 90 days, the archive generates €280</w:t>
            </w:r>
            <w:r>
              <w:rPr>
                <w:sz w:val="20"/>
              </w:rPr>
              <w:t>,000/month—turning a cost center into a revenue engine.</w:t>
            </w:r>
          </w:p>
          <w:p w14:paraId="4AA88160" w14:textId="77777777" w:rsidR="001A4EDA" w:rsidRDefault="00000000">
            <w:r>
              <w:rPr>
                <w:sz w:val="20"/>
              </w:rPr>
              <w:t>Every action is Flight Recorder-evidenced. Every rights decision is Cryptographic Authorization Vault-proven. Every financial settlement is idempotent. Not a vibe. A doctrine.</w:t>
            </w:r>
          </w:p>
        </w:tc>
      </w:tr>
    </w:tbl>
    <w:p w14:paraId="42D89AA7" w14:textId="77777777" w:rsidR="001A4EDA" w:rsidRDefault="001A4EDA"/>
    <w:p w14:paraId="0AB1DAE7" w14:textId="77777777" w:rsidR="001A4EDA" w:rsidRDefault="00000000">
      <w:pPr>
        <w:pStyle w:val="Heading2"/>
      </w:pPr>
      <w:bookmarkStart w:id="6" w:name="_Toc227587127"/>
      <w:r>
        <w:t>II.3 Major Media Services Enabling Holistic ADAM Operation</w:t>
      </w:r>
      <w:bookmarkEnd w:id="6"/>
    </w:p>
    <w:p w14:paraId="64278869" w14:textId="77777777" w:rsidR="001A4EDA" w:rsidRDefault="00000000">
      <w:r>
        <w:rPr>
          <w:b/>
          <w:sz w:val="24"/>
        </w:rPr>
        <w:t>Agents execute. Services enable. Together they form the operational fabric.</w:t>
      </w:r>
    </w:p>
    <w:p w14:paraId="5BA922B2" w14:textId="77777777" w:rsidR="001A4EDA" w:rsidRDefault="00000000">
      <w:r>
        <w:t>Beyond individual agents, ADAM requires foundational services that enable the media agent mesh to operate as a coherent autonomous enterprise rather than a collection of disconnected automations. These services are the infrastructure substrate that media agents depend on—without them, agents would be individually capable but collectively incoherent. Each service is itself governed by ADAM’s doctrine: policy-bounded, BOSS-scored where applicable, and Flight Recorder-evidenced.</w:t>
      </w:r>
    </w:p>
    <w:tbl>
      <w:tblPr>
        <w:tblStyle w:val="TableGrid"/>
        <w:tblW w:w="0" w:type="auto"/>
        <w:jc w:val="center"/>
        <w:tblLook w:val="04A0" w:firstRow="1" w:lastRow="0" w:firstColumn="1" w:lastColumn="0" w:noHBand="0" w:noVBand="1"/>
      </w:tblPr>
      <w:tblGrid>
        <w:gridCol w:w="2301"/>
        <w:gridCol w:w="2790"/>
        <w:gridCol w:w="4259"/>
      </w:tblGrid>
      <w:tr w:rsidR="001A4EDA" w14:paraId="00D85F3F" w14:textId="77777777">
        <w:trPr>
          <w:jc w:val="center"/>
        </w:trPr>
        <w:tc>
          <w:tcPr>
            <w:tcW w:w="2880" w:type="dxa"/>
            <w:shd w:val="clear" w:color="auto" w:fill="1F3A5F"/>
          </w:tcPr>
          <w:p w14:paraId="02A4FEDA" w14:textId="77777777" w:rsidR="001A4EDA" w:rsidRDefault="00000000">
            <w:r>
              <w:rPr>
                <w:b/>
                <w:color w:val="FFFFFF"/>
                <w:sz w:val="20"/>
              </w:rPr>
              <w:lastRenderedPageBreak/>
              <w:t>Service</w:t>
            </w:r>
          </w:p>
        </w:tc>
        <w:tc>
          <w:tcPr>
            <w:tcW w:w="3600" w:type="dxa"/>
            <w:shd w:val="clear" w:color="auto" w:fill="1F3A5F"/>
          </w:tcPr>
          <w:p w14:paraId="0ED1B229" w14:textId="77777777" w:rsidR="001A4EDA" w:rsidRDefault="00000000">
            <w:r>
              <w:rPr>
                <w:b/>
                <w:color w:val="FFFFFF"/>
                <w:sz w:val="20"/>
              </w:rPr>
              <w:t>Purpose</w:t>
            </w:r>
          </w:p>
        </w:tc>
        <w:tc>
          <w:tcPr>
            <w:tcW w:w="5760" w:type="dxa"/>
            <w:shd w:val="clear" w:color="auto" w:fill="1F3A5F"/>
          </w:tcPr>
          <w:p w14:paraId="1DAC94E2" w14:textId="77777777" w:rsidR="001A4EDA" w:rsidRDefault="00000000">
            <w:r>
              <w:rPr>
                <w:b/>
                <w:color w:val="FFFFFF"/>
                <w:sz w:val="20"/>
              </w:rPr>
              <w:t>Why It Matters for Media</w:t>
            </w:r>
          </w:p>
        </w:tc>
      </w:tr>
      <w:tr w:rsidR="001A4EDA" w14:paraId="10A67B47" w14:textId="77777777">
        <w:trPr>
          <w:jc w:val="center"/>
        </w:trPr>
        <w:tc>
          <w:tcPr>
            <w:tcW w:w="2880" w:type="dxa"/>
          </w:tcPr>
          <w:p w14:paraId="07CAAFC2" w14:textId="77777777" w:rsidR="001A4EDA" w:rsidRDefault="00000000">
            <w:r>
              <w:rPr>
                <w:sz w:val="18"/>
              </w:rPr>
              <w:t>Unified Metadata Intelligence Service</w:t>
            </w:r>
          </w:p>
        </w:tc>
        <w:tc>
          <w:tcPr>
            <w:tcW w:w="3600" w:type="dxa"/>
          </w:tcPr>
          <w:p w14:paraId="05C55DFA" w14:textId="77777777" w:rsidR="001A4EDA" w:rsidRDefault="00000000">
            <w:r>
              <w:rPr>
                <w:sz w:val="18"/>
              </w:rPr>
              <w:t>Central metadata enrichment, normalization, and governance layer. AI-generated metadata is tagged, versioned, and governed separately from editorial metadata.</w:t>
            </w:r>
          </w:p>
        </w:tc>
        <w:tc>
          <w:tcPr>
            <w:tcW w:w="5760" w:type="dxa"/>
          </w:tcPr>
          <w:p w14:paraId="7FB2FD25" w14:textId="77777777" w:rsidR="001A4EDA" w:rsidRDefault="00000000">
            <w:r>
              <w:rPr>
                <w:sz w:val="18"/>
              </w:rPr>
              <w:t>Media operations live and die on metadata quality. Rights clearance, personalization, search, monetization, and compliance all depend on consistent, accurate, governed metadata across all content types and platforms.</w:t>
            </w:r>
          </w:p>
        </w:tc>
      </w:tr>
      <w:tr w:rsidR="001A4EDA" w14:paraId="1C8888AA" w14:textId="77777777">
        <w:trPr>
          <w:jc w:val="center"/>
        </w:trPr>
        <w:tc>
          <w:tcPr>
            <w:tcW w:w="2880" w:type="dxa"/>
            <w:shd w:val="clear" w:color="auto" w:fill="F2F5F8"/>
          </w:tcPr>
          <w:p w14:paraId="5DD41434" w14:textId="77777777" w:rsidR="001A4EDA" w:rsidRDefault="00000000">
            <w:r>
              <w:rPr>
                <w:sz w:val="18"/>
              </w:rPr>
              <w:t>Content Supply Chain Orchestration</w:t>
            </w:r>
          </w:p>
        </w:tc>
        <w:tc>
          <w:tcPr>
            <w:tcW w:w="3600" w:type="dxa"/>
            <w:shd w:val="clear" w:color="auto" w:fill="F2F5F8"/>
          </w:tcPr>
          <w:p w14:paraId="2C17FEAF" w14:textId="77777777" w:rsidR="001A4EDA" w:rsidRDefault="00000000">
            <w:r>
              <w:rPr>
                <w:sz w:val="18"/>
              </w:rPr>
              <w:t>End-to-end content lifecycle management from ingest through archive. Coordinates transcoding, quality control, rights verification, metadata enrichment, and multi-platform distribution as a single governed pipeline.</w:t>
            </w:r>
          </w:p>
        </w:tc>
        <w:tc>
          <w:tcPr>
            <w:tcW w:w="5760" w:type="dxa"/>
            <w:shd w:val="clear" w:color="auto" w:fill="F2F5F8"/>
          </w:tcPr>
          <w:p w14:paraId="2F9259B7" w14:textId="77777777" w:rsidR="001A4EDA" w:rsidRDefault="00000000">
            <w:r>
              <w:rPr>
                <w:sz w:val="18"/>
              </w:rPr>
              <w:t>Modern media supply chains span dozens of systems and vendors. Without orchestration-level governance, individual systems optimize locally while the overall pipeline degrades.</w:t>
            </w:r>
          </w:p>
        </w:tc>
      </w:tr>
      <w:tr w:rsidR="001A4EDA" w14:paraId="33279FC4" w14:textId="77777777">
        <w:trPr>
          <w:jc w:val="center"/>
        </w:trPr>
        <w:tc>
          <w:tcPr>
            <w:tcW w:w="2880" w:type="dxa"/>
          </w:tcPr>
          <w:p w14:paraId="3CEFAAAA" w14:textId="77777777" w:rsidR="001A4EDA" w:rsidRDefault="00000000">
            <w:r>
              <w:rPr>
                <w:sz w:val="18"/>
              </w:rPr>
              <w:t>Real-Time Rights &amp; Entitlements Engine</w:t>
            </w:r>
          </w:p>
        </w:tc>
        <w:tc>
          <w:tcPr>
            <w:tcW w:w="3600" w:type="dxa"/>
          </w:tcPr>
          <w:p w14:paraId="51730B7B" w14:textId="77777777" w:rsidR="001A4EDA" w:rsidRDefault="00000000">
            <w:r>
              <w:rPr>
                <w:sz w:val="18"/>
              </w:rPr>
              <w:t>Continuous verification of content entitlements against current rights state. Integrates with the Cryptographic Authorization Vault (Privacy Lockbox) for proof-of-authorization at distribution time.</w:t>
            </w:r>
          </w:p>
        </w:tc>
        <w:tc>
          <w:tcPr>
            <w:tcW w:w="5760" w:type="dxa"/>
          </w:tcPr>
          <w:p w14:paraId="458C51B6" w14:textId="77777777" w:rsidR="001A4EDA" w:rsidRDefault="00000000">
            <w:r>
              <w:rPr>
                <w:sz w:val="18"/>
              </w:rPr>
              <w:t>Rights are not static. Holdbacks expire, territories change, exclusivity windows open and close. A rights engine that checks at ingest but not at distribution is a liability. Real-time verification prevents every category of unauthorized distribution.</w:t>
            </w:r>
          </w:p>
        </w:tc>
      </w:tr>
      <w:tr w:rsidR="001A4EDA" w14:paraId="5E281F55" w14:textId="77777777">
        <w:trPr>
          <w:jc w:val="center"/>
        </w:trPr>
        <w:tc>
          <w:tcPr>
            <w:tcW w:w="2880" w:type="dxa"/>
            <w:shd w:val="clear" w:color="auto" w:fill="F2F5F8"/>
          </w:tcPr>
          <w:p w14:paraId="1228E438" w14:textId="77777777" w:rsidR="001A4EDA" w:rsidRDefault="00000000">
            <w:r>
              <w:rPr>
                <w:sz w:val="18"/>
              </w:rPr>
              <w:t>Trust &amp; Editorial Standards Service</w:t>
            </w:r>
          </w:p>
        </w:tc>
        <w:tc>
          <w:tcPr>
            <w:tcW w:w="3600" w:type="dxa"/>
            <w:shd w:val="clear" w:color="auto" w:fill="F2F5F8"/>
          </w:tcPr>
          <w:p w14:paraId="45C7ECCB" w14:textId="77777777" w:rsidR="001A4EDA" w:rsidRDefault="00000000">
            <w:r>
              <w:rPr>
                <w:sz w:val="18"/>
              </w:rPr>
              <w:t>Encodes editorial policies, brand safety rules, content classification standards, and AI transparency requirements as executable constraints within ADAM’s policy engine.</w:t>
            </w:r>
          </w:p>
        </w:tc>
        <w:tc>
          <w:tcPr>
            <w:tcW w:w="5760" w:type="dxa"/>
            <w:shd w:val="clear" w:color="auto" w:fill="F2F5F8"/>
          </w:tcPr>
          <w:p w14:paraId="21D40748" w14:textId="77777777" w:rsidR="001A4EDA" w:rsidRDefault="00000000">
            <w:r>
              <w:rPr>
                <w:sz w:val="18"/>
              </w:rPr>
              <w:t>Trust is the currency of media. Every content decision—scheduling, recommendation, distribution, promotion—affects audience trust. Encoding trust as policy makes it enforceable rather than aspirational.</w:t>
            </w:r>
          </w:p>
        </w:tc>
      </w:tr>
      <w:tr w:rsidR="001A4EDA" w14:paraId="081B71D7" w14:textId="77777777">
        <w:trPr>
          <w:jc w:val="center"/>
        </w:trPr>
        <w:tc>
          <w:tcPr>
            <w:tcW w:w="2880" w:type="dxa"/>
          </w:tcPr>
          <w:p w14:paraId="4446F956" w14:textId="77777777" w:rsidR="001A4EDA" w:rsidRDefault="00000000">
            <w:r>
              <w:rPr>
                <w:sz w:val="18"/>
              </w:rPr>
              <w:t>Advertising &amp; Monetization Governance Service</w:t>
            </w:r>
          </w:p>
        </w:tc>
        <w:tc>
          <w:tcPr>
            <w:tcW w:w="3600" w:type="dxa"/>
          </w:tcPr>
          <w:p w14:paraId="71D842F0" w14:textId="77777777" w:rsidR="001A4EDA" w:rsidRDefault="00000000">
            <w:r>
              <w:rPr>
                <w:sz w:val="18"/>
              </w:rPr>
              <w:t>Governs ad insertion, programmatic decisioning, sponsorship compliance, and revenue attribution. Ensures brand safety, regulatory compliance (AVMSD, FTC guidelines), and financial accuracy.</w:t>
            </w:r>
          </w:p>
        </w:tc>
        <w:tc>
          <w:tcPr>
            <w:tcW w:w="5760" w:type="dxa"/>
          </w:tcPr>
          <w:p w14:paraId="108CE435" w14:textId="77777777" w:rsidR="001A4EDA" w:rsidRDefault="00000000">
            <w:r>
              <w:rPr>
                <w:sz w:val="18"/>
              </w:rPr>
              <w:t>Advertising revenue is both the largest income stream and the largest compliance surface in many media companies. Automated governance prevents brand safety incidents, regulatory violations, and revenue leakage.</w:t>
            </w:r>
          </w:p>
        </w:tc>
      </w:tr>
      <w:tr w:rsidR="001A4EDA" w14:paraId="6767B66B" w14:textId="77777777">
        <w:trPr>
          <w:jc w:val="center"/>
        </w:trPr>
        <w:tc>
          <w:tcPr>
            <w:tcW w:w="2880" w:type="dxa"/>
            <w:shd w:val="clear" w:color="auto" w:fill="F2F5F8"/>
          </w:tcPr>
          <w:p w14:paraId="1FEAFB81" w14:textId="77777777" w:rsidR="001A4EDA" w:rsidRDefault="00000000">
            <w:r>
              <w:rPr>
                <w:sz w:val="18"/>
              </w:rPr>
              <w:t>Cryptographic Authorization Vault Extension (Media)</w:t>
            </w:r>
          </w:p>
        </w:tc>
        <w:tc>
          <w:tcPr>
            <w:tcW w:w="3600" w:type="dxa"/>
            <w:shd w:val="clear" w:color="auto" w:fill="F2F5F8"/>
          </w:tcPr>
          <w:p w14:paraId="14BF58C3" w14:textId="77777777" w:rsidR="001A4EDA" w:rsidRDefault="00000000">
            <w:r>
              <w:rPr>
                <w:sz w:val="18"/>
              </w:rPr>
              <w:t>Extends the core Privacy Lockbox with media-specific authorization templates for territorial rights, holdback enforcement, exclusivity windows, content release authorizations, and creator consent management. Uses cryptographic ledgering built into ADAM’s open-source vault architecture.</w:t>
            </w:r>
          </w:p>
        </w:tc>
        <w:tc>
          <w:tcPr>
            <w:tcW w:w="5760" w:type="dxa"/>
            <w:shd w:val="clear" w:color="auto" w:fill="F2F5F8"/>
          </w:tcPr>
          <w:p w14:paraId="0BBCDC9A" w14:textId="77777777" w:rsidR="001A4EDA" w:rsidRDefault="00000000">
            <w:r>
              <w:rPr>
                <w:sz w:val="18"/>
              </w:rPr>
              <w:t>Media rights are uniquely complex: overlapping territorial scopes, time-bound exclusivity, multi-party revenue sharing, and creator moral rights. The vault extension provides pre-built authorization patterns for these media-specific requirements.</w:t>
            </w:r>
          </w:p>
        </w:tc>
      </w:tr>
      <w:tr w:rsidR="001A4EDA" w14:paraId="11CFE4A2" w14:textId="77777777">
        <w:trPr>
          <w:jc w:val="center"/>
        </w:trPr>
        <w:tc>
          <w:tcPr>
            <w:tcW w:w="2880" w:type="dxa"/>
          </w:tcPr>
          <w:p w14:paraId="10CE02BD" w14:textId="77777777" w:rsidR="001A4EDA" w:rsidRDefault="00000000">
            <w:r>
              <w:rPr>
                <w:sz w:val="18"/>
              </w:rPr>
              <w:t>Flight Recorder Extension (Media)</w:t>
            </w:r>
          </w:p>
        </w:tc>
        <w:tc>
          <w:tcPr>
            <w:tcW w:w="3600" w:type="dxa"/>
          </w:tcPr>
          <w:p w14:paraId="4A4BB44C" w14:textId="77777777" w:rsidR="001A4EDA" w:rsidRDefault="00000000">
            <w:r>
              <w:rPr>
                <w:sz w:val="18"/>
              </w:rPr>
              <w:t>Extends the core Flight Recorder with media-specific evidence schemas: content provenance chains, rights verification traces, editorial decision audit trails, audience data processing records, and distribution confirmation evidence.</w:t>
            </w:r>
          </w:p>
        </w:tc>
        <w:tc>
          <w:tcPr>
            <w:tcW w:w="5760" w:type="dxa"/>
          </w:tcPr>
          <w:p w14:paraId="5550A4D2" w14:textId="77777777" w:rsidR="001A4EDA" w:rsidRDefault="00000000">
            <w:r>
              <w:rPr>
                <w:sz w:val="18"/>
              </w:rPr>
              <w:t>Media-specific evidence requirements go beyond general audit: regulators require proof of content classification, rights clearance, audience consent, and AI involvement labeling. The recorder extension captures these natively.</w:t>
            </w:r>
          </w:p>
        </w:tc>
      </w:tr>
    </w:tbl>
    <w:p w14:paraId="6F82D43E" w14:textId="77777777" w:rsidR="001A4EDA" w:rsidRDefault="001A4EDA"/>
    <w:p w14:paraId="091553F9" w14:textId="77777777" w:rsidR="001A4EDA" w:rsidRDefault="00000000">
      <w:r>
        <w:lastRenderedPageBreak/>
        <w:t>These seven services form the operational backbone of an ADAM media deployment. Each service is independently deployable but architecturally integrated through ADAM’s standard communication protocols (MCP v2, A2A, Azure Service Bus). The Cryptographic Authorization Vault Extension uses ADAM’s built-in cryptographic ledgering architecture—an open-source, hash-chained, tamper-evident authorization system that provides the mathematical proof of authorization that media rights management demands, without relian</w:t>
      </w:r>
      <w:r>
        <w:t>ce on external distributed ledger technologies.</w:t>
      </w:r>
    </w:p>
    <w:p w14:paraId="12433E44" w14:textId="77777777" w:rsidR="001A4EDA" w:rsidRDefault="00000000">
      <w:pPr>
        <w:pStyle w:val="Heading2"/>
      </w:pPr>
      <w:bookmarkStart w:id="7" w:name="_Toc227587128"/>
      <w:r>
        <w:t>II.4 Media Architecture Differences from Core ADAM</w:t>
      </w:r>
      <w:bookmarkEnd w:id="7"/>
    </w:p>
    <w:p w14:paraId="38B88321" w14:textId="77777777" w:rsidR="001A4EDA" w:rsidRDefault="00000000">
      <w:r>
        <w:rPr>
          <w:b/>
          <w:sz w:val="24"/>
        </w:rPr>
        <w:t>Same operating system. Different device drivers.</w:t>
      </w:r>
    </w:p>
    <w:p w14:paraId="198B6D52" w14:textId="77777777" w:rsidR="001A4EDA" w:rsidRDefault="00000000">
      <w:r>
        <w:t>Media deployments modify ADAM’s reference architecture in specific, well-defined ways. These are not optional customizations—they are structural requirements driven by the operational reality of media companies. The core ADAM architecture remains intact; these modifications extend it into media-specific operational territory.</w:t>
      </w:r>
    </w:p>
    <w:tbl>
      <w:tblPr>
        <w:tblStyle w:val="TableGrid"/>
        <w:tblW w:w="0" w:type="auto"/>
        <w:jc w:val="center"/>
        <w:tblLook w:val="04A0" w:firstRow="1" w:lastRow="0" w:firstColumn="1" w:lastColumn="0" w:noHBand="0" w:noVBand="1"/>
      </w:tblPr>
      <w:tblGrid>
        <w:gridCol w:w="1742"/>
        <w:gridCol w:w="1876"/>
        <w:gridCol w:w="3019"/>
        <w:gridCol w:w="2713"/>
      </w:tblGrid>
      <w:tr w:rsidR="001A4EDA" w14:paraId="77FEBA3E" w14:textId="77777777">
        <w:trPr>
          <w:jc w:val="center"/>
        </w:trPr>
        <w:tc>
          <w:tcPr>
            <w:tcW w:w="1872" w:type="dxa"/>
            <w:shd w:val="clear" w:color="auto" w:fill="1F3A5F"/>
          </w:tcPr>
          <w:p w14:paraId="14ED9E96" w14:textId="77777777" w:rsidR="001A4EDA" w:rsidRDefault="00000000">
            <w:r>
              <w:rPr>
                <w:b/>
                <w:color w:val="FFFFFF"/>
                <w:sz w:val="20"/>
              </w:rPr>
              <w:t>Architecture Layer</w:t>
            </w:r>
          </w:p>
        </w:tc>
        <w:tc>
          <w:tcPr>
            <w:tcW w:w="2160" w:type="dxa"/>
            <w:shd w:val="clear" w:color="auto" w:fill="1F3A5F"/>
          </w:tcPr>
          <w:p w14:paraId="7AE99204" w14:textId="77777777" w:rsidR="001A4EDA" w:rsidRDefault="00000000">
            <w:r>
              <w:rPr>
                <w:b/>
                <w:color w:val="FFFFFF"/>
                <w:sz w:val="20"/>
              </w:rPr>
              <w:t>Core ADAM</w:t>
            </w:r>
          </w:p>
        </w:tc>
        <w:tc>
          <w:tcPr>
            <w:tcW w:w="3600" w:type="dxa"/>
            <w:shd w:val="clear" w:color="auto" w:fill="1F3A5F"/>
          </w:tcPr>
          <w:p w14:paraId="6D93A620" w14:textId="77777777" w:rsidR="001A4EDA" w:rsidRDefault="00000000">
            <w:r>
              <w:rPr>
                <w:b/>
                <w:color w:val="FFFFFF"/>
                <w:sz w:val="20"/>
              </w:rPr>
              <w:t>Media-Specific Modification</w:t>
            </w:r>
          </w:p>
        </w:tc>
        <w:tc>
          <w:tcPr>
            <w:tcW w:w="3168" w:type="dxa"/>
            <w:shd w:val="clear" w:color="auto" w:fill="1F3A5F"/>
          </w:tcPr>
          <w:p w14:paraId="5459116F" w14:textId="77777777" w:rsidR="001A4EDA" w:rsidRDefault="00000000">
            <w:r>
              <w:rPr>
                <w:b/>
                <w:color w:val="FFFFFF"/>
                <w:sz w:val="20"/>
              </w:rPr>
              <w:t>Rationale</w:t>
            </w:r>
          </w:p>
        </w:tc>
      </w:tr>
      <w:tr w:rsidR="001A4EDA" w14:paraId="22041843" w14:textId="77777777">
        <w:trPr>
          <w:jc w:val="center"/>
        </w:trPr>
        <w:tc>
          <w:tcPr>
            <w:tcW w:w="1872" w:type="dxa"/>
          </w:tcPr>
          <w:p w14:paraId="023BE473" w14:textId="77777777" w:rsidR="001A4EDA" w:rsidRDefault="00000000">
            <w:r>
              <w:rPr>
                <w:sz w:val="18"/>
              </w:rPr>
              <w:t>Interoperability Plane</w:t>
            </w:r>
          </w:p>
        </w:tc>
        <w:tc>
          <w:tcPr>
            <w:tcW w:w="2160" w:type="dxa"/>
          </w:tcPr>
          <w:p w14:paraId="4EB7B012" w14:textId="77777777" w:rsidR="001A4EDA" w:rsidRDefault="00000000">
            <w:r>
              <w:rPr>
                <w:sz w:val="18"/>
              </w:rPr>
              <w:t>Generic MCP/A2A integration</w:t>
            </w:r>
          </w:p>
        </w:tc>
        <w:tc>
          <w:tcPr>
            <w:tcW w:w="3600" w:type="dxa"/>
          </w:tcPr>
          <w:p w14:paraId="77EA8764" w14:textId="77777777" w:rsidR="001A4EDA" w:rsidRDefault="00000000">
            <w:r>
              <w:rPr>
                <w:sz w:val="18"/>
              </w:rPr>
              <w:t>NMOS IS-04/IS-05/IS-11 discovery and connection management. SMPTE ST 2110 transport integration. EBU MXL media exchange layer for virtualized production.</w:t>
            </w:r>
          </w:p>
        </w:tc>
        <w:tc>
          <w:tcPr>
            <w:tcW w:w="3168" w:type="dxa"/>
          </w:tcPr>
          <w:p w14:paraId="7B590AE6" w14:textId="77777777" w:rsidR="001A4EDA" w:rsidRDefault="00000000">
            <w:r>
              <w:rPr>
                <w:sz w:val="18"/>
              </w:rPr>
              <w:t>Media production infrastructure operates on broadcast-specific protocols. ADAM’s interoperability plane must speak native media control protocols, not just IT APIs.</w:t>
            </w:r>
          </w:p>
        </w:tc>
      </w:tr>
      <w:tr w:rsidR="001A4EDA" w14:paraId="0094C2B9" w14:textId="77777777">
        <w:trPr>
          <w:jc w:val="center"/>
        </w:trPr>
        <w:tc>
          <w:tcPr>
            <w:tcW w:w="1872" w:type="dxa"/>
            <w:shd w:val="clear" w:color="auto" w:fill="F2F5F8"/>
          </w:tcPr>
          <w:p w14:paraId="12237BD0" w14:textId="77777777" w:rsidR="001A4EDA" w:rsidRDefault="00000000">
            <w:r>
              <w:rPr>
                <w:sz w:val="18"/>
              </w:rPr>
              <w:t>Digital Twin Control Plane</w:t>
            </w:r>
          </w:p>
        </w:tc>
        <w:tc>
          <w:tcPr>
            <w:tcW w:w="2160" w:type="dxa"/>
            <w:shd w:val="clear" w:color="auto" w:fill="F2F5F8"/>
          </w:tcPr>
          <w:p w14:paraId="76519A40" w14:textId="77777777" w:rsidR="001A4EDA" w:rsidRDefault="00000000">
            <w:r>
              <w:rPr>
                <w:sz w:val="18"/>
              </w:rPr>
              <w:t>4 generic Digital Twins</w:t>
            </w:r>
          </w:p>
        </w:tc>
        <w:tc>
          <w:tcPr>
            <w:tcW w:w="3600" w:type="dxa"/>
            <w:shd w:val="clear" w:color="auto" w:fill="F2F5F8"/>
          </w:tcPr>
          <w:p w14:paraId="3397723A" w14:textId="77777777" w:rsidR="001A4EDA" w:rsidRDefault="00000000">
            <w:r>
              <w:rPr>
                <w:sz w:val="18"/>
              </w:rPr>
              <w:t>Extended with Content Lifecycle Twin, Audience Behavior Twin, Rights &amp; Licensing Twin, and Broadcast Infrastructure Twin.</w:t>
            </w:r>
          </w:p>
        </w:tc>
        <w:tc>
          <w:tcPr>
            <w:tcW w:w="3168" w:type="dxa"/>
            <w:shd w:val="clear" w:color="auto" w:fill="F2F5F8"/>
          </w:tcPr>
          <w:p w14:paraId="5405E0FA" w14:textId="77777777" w:rsidR="001A4EDA" w:rsidRDefault="00000000">
            <w:r>
              <w:rPr>
                <w:sz w:val="18"/>
              </w:rPr>
              <w:t>Media operations require domain-specific simulation: “what happens if we release this content in these territories?” “what is the audience impact of this schedule change?” Generic twins cannot model these.</w:t>
            </w:r>
          </w:p>
        </w:tc>
      </w:tr>
      <w:tr w:rsidR="001A4EDA" w14:paraId="24FDA2EE" w14:textId="77777777">
        <w:trPr>
          <w:jc w:val="center"/>
        </w:trPr>
        <w:tc>
          <w:tcPr>
            <w:tcW w:w="1872" w:type="dxa"/>
          </w:tcPr>
          <w:p w14:paraId="65FED5E6" w14:textId="77777777" w:rsidR="001A4EDA" w:rsidRDefault="00000000">
            <w:r>
              <w:rPr>
                <w:sz w:val="18"/>
              </w:rPr>
              <w:t>Security &amp; Trust Plane</w:t>
            </w:r>
          </w:p>
        </w:tc>
        <w:tc>
          <w:tcPr>
            <w:tcW w:w="2160" w:type="dxa"/>
          </w:tcPr>
          <w:p w14:paraId="7C60B636" w14:textId="1B6357B4" w:rsidR="001A4EDA" w:rsidRDefault="00000000">
            <w:r>
              <w:rPr>
                <w:sz w:val="18"/>
              </w:rPr>
              <w:t xml:space="preserve">Standard </w:t>
            </w:r>
            <w:r w:rsidR="00430777">
              <w:rPr>
                <w:sz w:val="18"/>
              </w:rPr>
              <w:t>AGT</w:t>
            </w:r>
            <w:r>
              <w:rPr>
                <w:sz w:val="18"/>
              </w:rPr>
              <w:t xml:space="preserve"> integration</w:t>
            </w:r>
          </w:p>
        </w:tc>
        <w:tc>
          <w:tcPr>
            <w:tcW w:w="3600" w:type="dxa"/>
          </w:tcPr>
          <w:p w14:paraId="253B433C" w14:textId="77777777" w:rsidR="001A4EDA" w:rsidRDefault="00000000">
            <w:r>
              <w:rPr>
                <w:sz w:val="18"/>
              </w:rPr>
              <w:t>Extended with C2PA content provenance, DRM integration, watermarking agent identity, and editorial trust scoring.</w:t>
            </w:r>
          </w:p>
        </w:tc>
        <w:tc>
          <w:tcPr>
            <w:tcW w:w="3168" w:type="dxa"/>
          </w:tcPr>
          <w:p w14:paraId="6D8F13F5" w14:textId="77777777" w:rsidR="001A4EDA" w:rsidRDefault="00000000">
            <w:r>
              <w:rPr>
                <w:sz w:val="18"/>
              </w:rPr>
              <w:t>Media security includes content protection (not just infrastructure protection). DRM, watermarking, and provenance are security concerns, not features.</w:t>
            </w:r>
          </w:p>
        </w:tc>
      </w:tr>
      <w:tr w:rsidR="001A4EDA" w14:paraId="37C87DEA" w14:textId="77777777">
        <w:trPr>
          <w:jc w:val="center"/>
        </w:trPr>
        <w:tc>
          <w:tcPr>
            <w:tcW w:w="1872" w:type="dxa"/>
            <w:shd w:val="clear" w:color="auto" w:fill="F2F5F8"/>
          </w:tcPr>
          <w:p w14:paraId="316040EE" w14:textId="77777777" w:rsidR="001A4EDA" w:rsidRDefault="00000000">
            <w:r>
              <w:rPr>
                <w:sz w:val="18"/>
              </w:rPr>
              <w:t>Policy &amp; Risk Plane</w:t>
            </w:r>
          </w:p>
        </w:tc>
        <w:tc>
          <w:tcPr>
            <w:tcW w:w="2160" w:type="dxa"/>
            <w:shd w:val="clear" w:color="auto" w:fill="F2F5F8"/>
          </w:tcPr>
          <w:p w14:paraId="54A7B457" w14:textId="77777777" w:rsidR="001A4EDA" w:rsidRDefault="00000000">
            <w:r>
              <w:rPr>
                <w:sz w:val="18"/>
              </w:rPr>
              <w:t>Generic policy engine</w:t>
            </w:r>
          </w:p>
        </w:tc>
        <w:tc>
          <w:tcPr>
            <w:tcW w:w="3600" w:type="dxa"/>
            <w:shd w:val="clear" w:color="auto" w:fill="F2F5F8"/>
          </w:tcPr>
          <w:p w14:paraId="40BE4B31" w14:textId="77777777" w:rsidR="001A4EDA" w:rsidRDefault="00000000">
            <w:r>
              <w:rPr>
                <w:sz w:val="18"/>
              </w:rPr>
              <w:t>Extended with territorial rights policies, editorial standards policies, advertising compliance policies, and content classification policies per jurisdiction.</w:t>
            </w:r>
          </w:p>
        </w:tc>
        <w:tc>
          <w:tcPr>
            <w:tcW w:w="3168" w:type="dxa"/>
            <w:shd w:val="clear" w:color="auto" w:fill="F2F5F8"/>
          </w:tcPr>
          <w:p w14:paraId="5F576B9E" w14:textId="77777777" w:rsidR="001A4EDA" w:rsidRDefault="00000000">
            <w:r>
              <w:rPr>
                <w:sz w:val="18"/>
              </w:rPr>
              <w:t>Media policy is inherently territorial and content-type-specific. A policy that works for entertainment content may be illegal for news content in the same territory.</w:t>
            </w:r>
          </w:p>
        </w:tc>
      </w:tr>
      <w:tr w:rsidR="001A4EDA" w14:paraId="05A7FDEB" w14:textId="77777777">
        <w:trPr>
          <w:jc w:val="center"/>
        </w:trPr>
        <w:tc>
          <w:tcPr>
            <w:tcW w:w="1872" w:type="dxa"/>
          </w:tcPr>
          <w:p w14:paraId="21935AF8" w14:textId="77777777" w:rsidR="001A4EDA" w:rsidRDefault="00000000">
            <w:r>
              <w:rPr>
                <w:sz w:val="18"/>
              </w:rPr>
              <w:t>Agent Mesh</w:t>
            </w:r>
          </w:p>
        </w:tc>
        <w:tc>
          <w:tcPr>
            <w:tcW w:w="2160" w:type="dxa"/>
          </w:tcPr>
          <w:p w14:paraId="2D159138" w14:textId="77777777" w:rsidR="001A4EDA" w:rsidRDefault="00000000">
            <w:r>
              <w:rPr>
                <w:sz w:val="18"/>
              </w:rPr>
              <w:t>81 agents across 5 layers</w:t>
            </w:r>
          </w:p>
        </w:tc>
        <w:tc>
          <w:tcPr>
            <w:tcW w:w="3600" w:type="dxa"/>
          </w:tcPr>
          <w:p w14:paraId="2F70E2DE" w14:textId="77777777" w:rsidR="001A4EDA" w:rsidRDefault="00000000">
            <w:r>
              <w:rPr>
                <w:sz w:val="18"/>
              </w:rPr>
              <w:t>Extended with 8 media-specific agents (defined in II.2) integrated into existing layers. Total: 89 agents in a media deployment.</w:t>
            </w:r>
          </w:p>
        </w:tc>
        <w:tc>
          <w:tcPr>
            <w:tcW w:w="3168" w:type="dxa"/>
          </w:tcPr>
          <w:p w14:paraId="18BC2A1B" w14:textId="77777777" w:rsidR="001A4EDA" w:rsidRDefault="00000000">
            <w:r>
              <w:rPr>
                <w:sz w:val="18"/>
              </w:rPr>
              <w:t>Industry agents slot into existing layers. No new governance layers are required—the Exception Economy, BOSS scoring, and Flight Recorder govern industry agents identically to core agents.</w:t>
            </w:r>
          </w:p>
        </w:tc>
      </w:tr>
    </w:tbl>
    <w:p w14:paraId="18C4C504" w14:textId="77777777" w:rsidR="001A4EDA" w:rsidRDefault="001A4EDA"/>
    <w:p w14:paraId="4FC6D71C" w14:textId="77777777" w:rsidR="001A4EDA" w:rsidRDefault="00000000">
      <w:r>
        <w:lastRenderedPageBreak/>
        <w:t>The architecture modifications above are additive, not substitutive. Every modification preserves the core ADAM architectural properties: policy-bounded autonomy, evidence-backed actions, and human accountability through the 5-Director Constitution. The Legal Director gains oversight of media rights agents. The Market Director gains oversight of audience and distribution agents. The CISO gains oversight of content provenance and DRM agents. No new human governance roles are required—the existing directorshi</w:t>
      </w:r>
      <w:r>
        <w:t>p model scales to industry-specific agents through the same governance channels.</w:t>
      </w:r>
    </w:p>
    <w:p w14:paraId="1A3730E7" w14:textId="1D542195" w:rsidR="001A4EDA" w:rsidRDefault="00000000">
      <w:pPr>
        <w:pStyle w:val="Heading2"/>
      </w:pPr>
      <w:bookmarkStart w:id="8" w:name="_Toc227587129"/>
      <w:r>
        <w:t xml:space="preserve">II.5 Media Security Differences and </w:t>
      </w:r>
      <w:r w:rsidR="00430777">
        <w:t>AGT</w:t>
      </w:r>
      <w:r>
        <w:t xml:space="preserve"> Integration</w:t>
      </w:r>
      <w:bookmarkEnd w:id="8"/>
    </w:p>
    <w:p w14:paraId="525BDEB1" w14:textId="77777777" w:rsidR="001A4EDA" w:rsidRDefault="00000000">
      <w:r>
        <w:rPr>
          <w:b/>
          <w:sz w:val="24"/>
        </w:rPr>
        <w:t>Content protection is a security requirement, not a feature request.</w:t>
      </w:r>
    </w:p>
    <w:p w14:paraId="297AFECC" w14:textId="07BD780E" w:rsidR="001A4EDA" w:rsidRDefault="00000000">
      <w:r>
        <w:t>Media security extends beyond infrastructure protection into content protection, rights enforcement, and editorial integrity. ADAM’s Security &amp; Trust Plane (Security &amp; Trust Plane, IV.4) integrates the Microsoft Agent Governance Toolkit (</w:t>
      </w:r>
      <w:r w:rsidR="00430777">
        <w:t>AGT</w:t>
      </w:r>
      <w:r>
        <w:t>) with media-specific security policies that address the unique threat model of autonomous media operations.</w:t>
      </w:r>
    </w:p>
    <w:tbl>
      <w:tblPr>
        <w:tblStyle w:val="TableGrid"/>
        <w:tblW w:w="0" w:type="auto"/>
        <w:jc w:val="center"/>
        <w:tblLook w:val="04A0" w:firstRow="1" w:lastRow="0" w:firstColumn="1" w:lastColumn="0" w:noHBand="0" w:noVBand="1"/>
      </w:tblPr>
      <w:tblGrid>
        <w:gridCol w:w="1682"/>
        <w:gridCol w:w="1913"/>
        <w:gridCol w:w="2990"/>
        <w:gridCol w:w="2765"/>
      </w:tblGrid>
      <w:tr w:rsidR="001A4EDA" w14:paraId="245BE165" w14:textId="77777777">
        <w:trPr>
          <w:jc w:val="center"/>
        </w:trPr>
        <w:tc>
          <w:tcPr>
            <w:tcW w:w="1872" w:type="dxa"/>
            <w:shd w:val="clear" w:color="auto" w:fill="1F3A5F"/>
          </w:tcPr>
          <w:p w14:paraId="6E8DB16C" w14:textId="77777777" w:rsidR="001A4EDA" w:rsidRDefault="00000000">
            <w:r>
              <w:rPr>
                <w:b/>
                <w:color w:val="FFFFFF"/>
                <w:sz w:val="20"/>
              </w:rPr>
              <w:t>Security Domain</w:t>
            </w:r>
          </w:p>
        </w:tc>
        <w:tc>
          <w:tcPr>
            <w:tcW w:w="2160" w:type="dxa"/>
            <w:shd w:val="clear" w:color="auto" w:fill="1F3A5F"/>
          </w:tcPr>
          <w:p w14:paraId="4CDC69DB" w14:textId="1EE95CB4" w:rsidR="001A4EDA" w:rsidRDefault="00000000">
            <w:r>
              <w:rPr>
                <w:b/>
                <w:color w:val="FFFFFF"/>
                <w:sz w:val="20"/>
              </w:rPr>
              <w:t xml:space="preserve">Core ADAM + </w:t>
            </w:r>
            <w:r w:rsidR="00430777">
              <w:rPr>
                <w:b/>
                <w:color w:val="FFFFFF"/>
                <w:sz w:val="20"/>
              </w:rPr>
              <w:t>AGT</w:t>
            </w:r>
          </w:p>
        </w:tc>
        <w:tc>
          <w:tcPr>
            <w:tcW w:w="3600" w:type="dxa"/>
            <w:shd w:val="clear" w:color="auto" w:fill="1F3A5F"/>
          </w:tcPr>
          <w:p w14:paraId="3ED5C682" w14:textId="77777777" w:rsidR="001A4EDA" w:rsidRDefault="00000000">
            <w:r>
              <w:rPr>
                <w:b/>
                <w:color w:val="FFFFFF"/>
                <w:sz w:val="20"/>
              </w:rPr>
              <w:t>Media-Specific Extension</w:t>
            </w:r>
          </w:p>
        </w:tc>
        <w:tc>
          <w:tcPr>
            <w:tcW w:w="3168" w:type="dxa"/>
            <w:shd w:val="clear" w:color="auto" w:fill="1F3A5F"/>
          </w:tcPr>
          <w:p w14:paraId="2A2D3BCD" w14:textId="0FAC1E28" w:rsidR="001A4EDA" w:rsidRDefault="00430777">
            <w:r>
              <w:rPr>
                <w:b/>
                <w:color w:val="FFFFFF"/>
                <w:sz w:val="20"/>
              </w:rPr>
              <w:t>AGT Policy Configuration</w:t>
            </w:r>
          </w:p>
        </w:tc>
      </w:tr>
      <w:tr w:rsidR="001A4EDA" w14:paraId="3FFAFFD0" w14:textId="77777777">
        <w:trPr>
          <w:jc w:val="center"/>
        </w:trPr>
        <w:tc>
          <w:tcPr>
            <w:tcW w:w="1872" w:type="dxa"/>
          </w:tcPr>
          <w:p w14:paraId="73E2A2D3" w14:textId="77777777" w:rsidR="001A4EDA" w:rsidRDefault="00000000">
            <w:r>
              <w:rPr>
                <w:sz w:val="18"/>
              </w:rPr>
              <w:t>Agent Identity</w:t>
            </w:r>
          </w:p>
        </w:tc>
        <w:tc>
          <w:tcPr>
            <w:tcW w:w="2160" w:type="dxa"/>
          </w:tcPr>
          <w:p w14:paraId="588D6F43" w14:textId="7CC93126" w:rsidR="001A4EDA" w:rsidRDefault="00000000">
            <w:r>
              <w:rPr>
                <w:sz w:val="18"/>
              </w:rPr>
              <w:t>DID-based cryptographic identity (</w:t>
            </w:r>
            <w:r w:rsidR="00430777">
              <w:rPr>
                <w:sz w:val="18"/>
              </w:rPr>
              <w:t>AGT</w:t>
            </w:r>
            <w:r>
              <w:rPr>
                <w:sz w:val="18"/>
              </w:rPr>
              <w:t xml:space="preserve"> Agent Mesh)</w:t>
            </w:r>
          </w:p>
        </w:tc>
        <w:tc>
          <w:tcPr>
            <w:tcW w:w="3600" w:type="dxa"/>
          </w:tcPr>
          <w:p w14:paraId="44F24BDC" w14:textId="77777777" w:rsidR="001A4EDA" w:rsidRDefault="00000000">
            <w:r>
              <w:rPr>
                <w:sz w:val="18"/>
              </w:rPr>
              <w:t>Agents handling content carry content-classification-aware identity. An agent authorized for general entertainment cannot access restricted or embargoed content without explicit Cryptographic Authorization Vault delegation.</w:t>
            </w:r>
          </w:p>
        </w:tc>
        <w:tc>
          <w:tcPr>
            <w:tcW w:w="3168" w:type="dxa"/>
          </w:tcPr>
          <w:p w14:paraId="1E550DB1" w14:textId="49B2FE1C" w:rsidR="001A4EDA" w:rsidRDefault="00430777">
            <w:r>
              <w:rPr>
                <w:sz w:val="18"/>
              </w:rPr>
              <w:t>AGT execution rings: Ring 0 for rights/licensing agents, Ring 1 for content distribution, Ring 2 for metadata/analytics. Content classification enforced at ring boundary.</w:t>
            </w:r>
          </w:p>
        </w:tc>
      </w:tr>
      <w:tr w:rsidR="001A4EDA" w14:paraId="22BC54F5" w14:textId="77777777">
        <w:trPr>
          <w:jc w:val="center"/>
        </w:trPr>
        <w:tc>
          <w:tcPr>
            <w:tcW w:w="1872" w:type="dxa"/>
            <w:shd w:val="clear" w:color="auto" w:fill="F2F5F8"/>
          </w:tcPr>
          <w:p w14:paraId="1B34B777" w14:textId="77777777" w:rsidR="001A4EDA" w:rsidRDefault="00000000">
            <w:r>
              <w:rPr>
                <w:sz w:val="18"/>
              </w:rPr>
              <w:t>Content Provenance</w:t>
            </w:r>
          </w:p>
        </w:tc>
        <w:tc>
          <w:tcPr>
            <w:tcW w:w="2160" w:type="dxa"/>
            <w:shd w:val="clear" w:color="auto" w:fill="F2F5F8"/>
          </w:tcPr>
          <w:p w14:paraId="506F0F18" w14:textId="77777777" w:rsidR="001A4EDA" w:rsidRDefault="00000000">
            <w:r>
              <w:rPr>
                <w:sz w:val="18"/>
              </w:rPr>
              <w:t>General audit trail</w:t>
            </w:r>
          </w:p>
        </w:tc>
        <w:tc>
          <w:tcPr>
            <w:tcW w:w="3600" w:type="dxa"/>
            <w:shd w:val="clear" w:color="auto" w:fill="F2F5F8"/>
          </w:tcPr>
          <w:p w14:paraId="4FA2F4C5" w14:textId="77777777" w:rsidR="001A4EDA" w:rsidRDefault="00000000">
            <w:r>
              <w:rPr>
                <w:sz w:val="18"/>
              </w:rPr>
              <w:t>C2PA (Coalition for Content Provenance and Authenticity) integration for content provenance. Every piece of content carries a cryptographic provenance chain from creation through every transformation and distribution.</w:t>
            </w:r>
          </w:p>
        </w:tc>
        <w:tc>
          <w:tcPr>
            <w:tcW w:w="3168" w:type="dxa"/>
            <w:shd w:val="clear" w:color="auto" w:fill="F2F5F8"/>
          </w:tcPr>
          <w:p w14:paraId="3994F65E" w14:textId="7F40D5CC" w:rsidR="001A4EDA" w:rsidRDefault="00430777">
            <w:r>
              <w:rPr>
                <w:sz w:val="18"/>
              </w:rPr>
              <w:t>AGT policy: content distribution actions require valid C2PA manifest. Actions without provenance chain score +20 on BOSS Reputational Risk.</w:t>
            </w:r>
          </w:p>
        </w:tc>
      </w:tr>
      <w:tr w:rsidR="001A4EDA" w14:paraId="5B124286" w14:textId="77777777">
        <w:trPr>
          <w:jc w:val="center"/>
        </w:trPr>
        <w:tc>
          <w:tcPr>
            <w:tcW w:w="1872" w:type="dxa"/>
          </w:tcPr>
          <w:p w14:paraId="2E14088E" w14:textId="77777777" w:rsidR="001A4EDA" w:rsidRDefault="00000000">
            <w:r>
              <w:rPr>
                <w:sz w:val="18"/>
              </w:rPr>
              <w:t>DRM &amp; Rights Enforcement</w:t>
            </w:r>
          </w:p>
        </w:tc>
        <w:tc>
          <w:tcPr>
            <w:tcW w:w="2160" w:type="dxa"/>
          </w:tcPr>
          <w:p w14:paraId="51990959" w14:textId="77777777" w:rsidR="001A4EDA" w:rsidRDefault="00000000">
            <w:r>
              <w:rPr>
                <w:sz w:val="18"/>
              </w:rPr>
              <w:t>Cryptographic Authorization Vault</w:t>
            </w:r>
          </w:p>
        </w:tc>
        <w:tc>
          <w:tcPr>
            <w:tcW w:w="3600" w:type="dxa"/>
          </w:tcPr>
          <w:p w14:paraId="77088C65" w14:textId="77777777" w:rsidR="001A4EDA" w:rsidRDefault="00000000">
            <w:r>
              <w:rPr>
                <w:sz w:val="18"/>
              </w:rPr>
              <w:t>Integration with Widevine, FairPlay, and PlayReady DRM systems. Authorization Vault enforces DRM requirements as pre-conditions for content distribution to specific platforms.</w:t>
            </w:r>
          </w:p>
        </w:tc>
        <w:tc>
          <w:tcPr>
            <w:tcW w:w="3168" w:type="dxa"/>
          </w:tcPr>
          <w:p w14:paraId="1DFF0291" w14:textId="253C84BD" w:rsidR="001A4EDA" w:rsidRDefault="00430777">
            <w:r>
              <w:rPr>
                <w:sz w:val="18"/>
              </w:rPr>
              <w:t>AGT policy: distribution to DRM-required platforms blocked without confirmed DRM packaging. Violation triggers OHSHAT-level escalation.</w:t>
            </w:r>
          </w:p>
        </w:tc>
      </w:tr>
      <w:tr w:rsidR="001A4EDA" w14:paraId="40C5C42D" w14:textId="77777777">
        <w:trPr>
          <w:jc w:val="center"/>
        </w:trPr>
        <w:tc>
          <w:tcPr>
            <w:tcW w:w="1872" w:type="dxa"/>
            <w:shd w:val="clear" w:color="auto" w:fill="F2F5F8"/>
          </w:tcPr>
          <w:p w14:paraId="668F0451" w14:textId="77777777" w:rsidR="001A4EDA" w:rsidRDefault="00000000">
            <w:r>
              <w:rPr>
                <w:sz w:val="18"/>
              </w:rPr>
              <w:t>Editorial Integrity</w:t>
            </w:r>
          </w:p>
        </w:tc>
        <w:tc>
          <w:tcPr>
            <w:tcW w:w="2160" w:type="dxa"/>
            <w:shd w:val="clear" w:color="auto" w:fill="F2F5F8"/>
          </w:tcPr>
          <w:p w14:paraId="17A57803" w14:textId="77777777" w:rsidR="001A4EDA" w:rsidRDefault="00000000">
            <w:r>
              <w:rPr>
                <w:sz w:val="18"/>
              </w:rPr>
              <w:t>General policy enforcement</w:t>
            </w:r>
          </w:p>
        </w:tc>
        <w:tc>
          <w:tcPr>
            <w:tcW w:w="3600" w:type="dxa"/>
            <w:shd w:val="clear" w:color="auto" w:fill="F2F5F8"/>
          </w:tcPr>
          <w:p w14:paraId="41F9C3BC" w14:textId="7B8920B0" w:rsidR="001A4EDA" w:rsidRDefault="00000000">
            <w:r>
              <w:rPr>
                <w:sz w:val="18"/>
              </w:rPr>
              <w:t>Multi-model verification (</w:t>
            </w:r>
            <w:r w:rsidR="00430777">
              <w:rPr>
                <w:sz w:val="18"/>
              </w:rPr>
              <w:t>AGT</w:t>
            </w:r>
            <w:r>
              <w:rPr>
                <w:sz w:val="18"/>
              </w:rPr>
              <w:t xml:space="preserve"> CMVK) for AI-generated or AI-assisted editorial content. No AI-generated news content published without cross-model verification and editorial policy compliance check.</w:t>
            </w:r>
          </w:p>
        </w:tc>
        <w:tc>
          <w:tcPr>
            <w:tcW w:w="3168" w:type="dxa"/>
            <w:shd w:val="clear" w:color="auto" w:fill="F2F5F8"/>
          </w:tcPr>
          <w:p w14:paraId="25D6E96D" w14:textId="68919D5D" w:rsidR="001A4EDA" w:rsidRDefault="00430777">
            <w:r>
              <w:rPr>
                <w:sz w:val="18"/>
              </w:rPr>
              <w:t>AGT Cross-Model Verification Kernel: minimum 3-model consensus for news content. Disagreement triggers exception to the Market Director. Trust score decay for agents that produce contested outputs.</w:t>
            </w:r>
          </w:p>
        </w:tc>
      </w:tr>
      <w:tr w:rsidR="001A4EDA" w14:paraId="11F809DE" w14:textId="77777777">
        <w:trPr>
          <w:jc w:val="center"/>
        </w:trPr>
        <w:tc>
          <w:tcPr>
            <w:tcW w:w="1872" w:type="dxa"/>
          </w:tcPr>
          <w:p w14:paraId="7E03DA6B" w14:textId="77777777" w:rsidR="001A4EDA" w:rsidRDefault="00000000">
            <w:r>
              <w:rPr>
                <w:sz w:val="18"/>
              </w:rPr>
              <w:t>Audience Data Protection</w:t>
            </w:r>
          </w:p>
        </w:tc>
        <w:tc>
          <w:tcPr>
            <w:tcW w:w="2160" w:type="dxa"/>
          </w:tcPr>
          <w:p w14:paraId="74DF4689" w14:textId="77777777" w:rsidR="001A4EDA" w:rsidRDefault="00000000">
            <w:r>
              <w:rPr>
                <w:sz w:val="18"/>
              </w:rPr>
              <w:t>General GDPR compliance</w:t>
            </w:r>
          </w:p>
        </w:tc>
        <w:tc>
          <w:tcPr>
            <w:tcW w:w="3600" w:type="dxa"/>
          </w:tcPr>
          <w:p w14:paraId="34A1E5CA" w14:textId="77777777" w:rsidR="001A4EDA" w:rsidRDefault="00000000">
            <w:r>
              <w:rPr>
                <w:sz w:val="18"/>
              </w:rPr>
              <w:t>Jurisdiction-aware consent enforcement. IAB TCF 2.2 integration. Real-time consent state verification before any audience data processing or personalization action.</w:t>
            </w:r>
          </w:p>
        </w:tc>
        <w:tc>
          <w:tcPr>
            <w:tcW w:w="3168" w:type="dxa"/>
          </w:tcPr>
          <w:p w14:paraId="41F93F23" w14:textId="2CFE69C5" w:rsidR="001A4EDA" w:rsidRDefault="00430777">
            <w:r>
              <w:rPr>
                <w:sz w:val="18"/>
              </w:rPr>
              <w:t xml:space="preserve">AGT policy: audience data access requires verified consent token from Cryptographic Authorization Vault. Consent expiry checked at action time, not at session start. BOSS Regulatory Impact +25 for </w:t>
            </w:r>
            <w:r>
              <w:rPr>
                <w:sz w:val="18"/>
              </w:rPr>
              <w:lastRenderedPageBreak/>
              <w:t>any action processing audience data without current consent.</w:t>
            </w:r>
          </w:p>
        </w:tc>
      </w:tr>
    </w:tbl>
    <w:p w14:paraId="739F4F8E" w14:textId="77777777" w:rsidR="001A4EDA" w:rsidRDefault="001A4EDA"/>
    <w:p w14:paraId="41BBE67C" w14:textId="77777777" w:rsidR="001A4EDA" w:rsidRDefault="00000000">
      <w:r>
        <w:rPr>
          <w:i/>
          <w:color w:val="2E75B6"/>
          <w:sz w:val="18"/>
        </w:rPr>
        <w:t>Reference: Microsoft Agent Governance Toolkit — https://github.com/microsoft/agent-governance-toolkit</w:t>
      </w:r>
    </w:p>
    <w:p w14:paraId="6085EC1A" w14:textId="41DD7B95" w:rsidR="001A4EDA" w:rsidRDefault="00000000">
      <w:r>
        <w:rPr>
          <w:i/>
          <w:color w:val="2E75B6"/>
          <w:sz w:val="18"/>
        </w:rPr>
        <w:t xml:space="preserve">Reference: </w:t>
      </w:r>
      <w:r w:rsidR="00430777">
        <w:rPr>
          <w:i/>
          <w:color w:val="2E75B6"/>
          <w:sz w:val="18"/>
        </w:rPr>
        <w:t>AGT</w:t>
      </w:r>
      <w:r>
        <w:rPr>
          <w:i/>
          <w:color w:val="2E75B6"/>
          <w:sz w:val="18"/>
        </w:rPr>
        <w:t xml:space="preserve"> Architecture Deep Dive — https://techcommunity.microsoft.com/blog/linuxandopensourceblog/agent-governance-toolkit-architecture-deep-dive-policy-engines-trust-and-sre-for/4510105</w:t>
      </w:r>
    </w:p>
    <w:p w14:paraId="0CBF7F1C" w14:textId="77777777" w:rsidR="001A4EDA" w:rsidRDefault="00000000">
      <w:r>
        <w:rPr>
          <w:i/>
          <w:color w:val="2E75B6"/>
          <w:sz w:val="18"/>
        </w:rPr>
        <w:t>Reference: C2PA Content Provenance Standard — https://c2pa.org/</w:t>
      </w:r>
    </w:p>
    <w:tbl>
      <w:tblPr>
        <w:tblW w:w="0" w:type="auto"/>
        <w:jc w:val="center"/>
        <w:tblLook w:val="04A0" w:firstRow="1" w:lastRow="0" w:firstColumn="1" w:lastColumn="0" w:noHBand="0" w:noVBand="1"/>
      </w:tblPr>
      <w:tblGrid>
        <w:gridCol w:w="9360"/>
      </w:tblGrid>
      <w:tr w:rsidR="001A4EDA" w14:paraId="0A2807D2" w14:textId="77777777">
        <w:trPr>
          <w:jc w:val="center"/>
        </w:trPr>
        <w:tc>
          <w:tcPr>
            <w:tcW w:w="9360" w:type="dxa"/>
            <w:shd w:val="clear" w:color="auto" w:fill="FFF3E0"/>
          </w:tcPr>
          <w:p w14:paraId="297C0A99" w14:textId="77777777" w:rsidR="001A4EDA" w:rsidRDefault="00000000">
            <w:r>
              <w:rPr>
                <w:b/>
                <w:color w:val="8B5E00"/>
              </w:rPr>
              <w:t>SCENARIO: NetStreamX — Editorial Trust Under Pressure</w:t>
            </w:r>
          </w:p>
          <w:p w14:paraId="16AF569E" w14:textId="77777777" w:rsidR="001A4EDA" w:rsidRDefault="00000000">
            <w:r>
              <w:rPr>
                <w:sz w:val="20"/>
              </w:rPr>
              <w:t>Breaking news: a major European football league announces a surprise broadcast rights restructuring. NetStreamX’s Trusted News Agent Mesh generates a multilingual explainer for 14 markets within 12 minutes—English, French, German, Spanish, Portuguese, Dutch, Polish, and six APAC languages.</w:t>
            </w:r>
          </w:p>
          <w:p w14:paraId="5F9AA65E" w14:textId="2FE8C16E" w:rsidR="001A4EDA" w:rsidRDefault="00000000">
            <w:r>
              <w:rPr>
                <w:sz w:val="20"/>
              </w:rPr>
              <w:t xml:space="preserve">The </w:t>
            </w:r>
            <w:r w:rsidR="00430777">
              <w:rPr>
                <w:sz w:val="20"/>
              </w:rPr>
              <w:t>AGT</w:t>
            </w:r>
            <w:r>
              <w:rPr>
                <w:sz w:val="20"/>
              </w:rPr>
              <w:t xml:space="preserve"> Cross-Model Verification Kernel flags a discrepancy: one model interprets "restructuring" as a price increase, another as a format change. BOSS Reputational Risk scores: 58 (HIGH tier). The exception packet routes to the Market Director with full model attribution. The director reviews, confirms the correct interpretation, and the explainer publishes within 18 minutes total.</w:t>
            </w:r>
          </w:p>
          <w:p w14:paraId="4AED3C1D" w14:textId="77777777" w:rsidR="001A4EDA" w:rsidRDefault="00000000">
            <w:r>
              <w:rPr>
                <w:sz w:val="20"/>
              </w:rPr>
              <w:t>Without ADAM: the explainer publishes immediately with the wrong interpretation. 200,000 subscribers read inaccurate information. Competitor outlets correct NetStreamX publicly. Trust damage is permanent and unmeasurable. With ADAM: a 6-minute delay prevents a reputational catastrophe. The Flight Recorder captures every step. The evidence is defensible.</w:t>
            </w:r>
          </w:p>
        </w:tc>
      </w:tr>
    </w:tbl>
    <w:p w14:paraId="3CC0AA41" w14:textId="77777777" w:rsidR="001A4EDA" w:rsidRDefault="001A4EDA"/>
    <w:p w14:paraId="46504479" w14:textId="77777777" w:rsidR="001A4EDA" w:rsidRDefault="00000000">
      <w:pPr>
        <w:pStyle w:val="Heading2"/>
      </w:pPr>
      <w:bookmarkStart w:id="9" w:name="_Toc227587130"/>
      <w:r>
        <w:t>II.6 TM Forum Conformance and Mapping</w:t>
      </w:r>
      <w:bookmarkEnd w:id="9"/>
    </w:p>
    <w:p w14:paraId="105FAD07" w14:textId="77777777" w:rsidR="001A4EDA" w:rsidRDefault="00000000">
      <w:r>
        <w:rPr>
          <w:b/>
          <w:sz w:val="24"/>
        </w:rPr>
        <w:t>ADAM conforms to TM Forum’s model—in ADAM’s way.</w:t>
      </w:r>
    </w:p>
    <w:p w14:paraId="417D9B91" w14:textId="77777777" w:rsidR="001A4EDA" w:rsidRDefault="00000000">
      <w:r>
        <w:t>TM Forum’s Open Digital Architecture (ODA), enhanced Telecom Operations Map (eTOM), Shared Information/Data Model (SID), and Open API ecosystem represent the most mature enterprise architecture framework for telecommunications and converging media operations. ADAM does not compete with TM Forum—it consumes and extends it. Where TM Forum defines functional blocks, APIs, and process frameworks for media-telecom convergence, ADAM provides the autonomous governance, scoring, and evidence layer that TM Forum’s a</w:t>
      </w:r>
      <w:r>
        <w:t>rchitecture does not address.</w:t>
      </w:r>
    </w:p>
    <w:p w14:paraId="0AC5E218" w14:textId="77777777" w:rsidR="001A4EDA" w:rsidRDefault="00000000">
      <w:r>
        <w:t>The following mapping table defines the relationship between TM Forum’s ODA functional blocks and ADAM’s architecture. Where alignment is exact, ADAM supports the TM Forum specification internally. Where ADAM extends, the extension is defined.</w:t>
      </w:r>
    </w:p>
    <w:tbl>
      <w:tblPr>
        <w:tblStyle w:val="TableGrid"/>
        <w:tblW w:w="0" w:type="auto"/>
        <w:jc w:val="center"/>
        <w:tblLook w:val="04A0" w:firstRow="1" w:lastRow="0" w:firstColumn="1" w:lastColumn="0" w:noHBand="0" w:noVBand="1"/>
      </w:tblPr>
      <w:tblGrid>
        <w:gridCol w:w="1871"/>
        <w:gridCol w:w="2258"/>
        <w:gridCol w:w="3243"/>
        <w:gridCol w:w="1978"/>
      </w:tblGrid>
      <w:tr w:rsidR="001A4EDA" w14:paraId="71C58EFC" w14:textId="77777777">
        <w:trPr>
          <w:jc w:val="center"/>
        </w:trPr>
        <w:tc>
          <w:tcPr>
            <w:tcW w:w="2160" w:type="dxa"/>
            <w:shd w:val="clear" w:color="auto" w:fill="1F3A5F"/>
          </w:tcPr>
          <w:p w14:paraId="647F7315" w14:textId="77777777" w:rsidR="001A4EDA" w:rsidRDefault="00000000">
            <w:r>
              <w:rPr>
                <w:b/>
                <w:color w:val="FFFFFF"/>
                <w:sz w:val="20"/>
              </w:rPr>
              <w:t>TM Forum ODA Component</w:t>
            </w:r>
          </w:p>
        </w:tc>
        <w:tc>
          <w:tcPr>
            <w:tcW w:w="2592" w:type="dxa"/>
            <w:shd w:val="clear" w:color="auto" w:fill="1F3A5F"/>
          </w:tcPr>
          <w:p w14:paraId="086EC798" w14:textId="77777777" w:rsidR="001A4EDA" w:rsidRDefault="00000000">
            <w:r>
              <w:rPr>
                <w:b/>
                <w:color w:val="FFFFFF"/>
                <w:sz w:val="20"/>
              </w:rPr>
              <w:t>TM Forum Function</w:t>
            </w:r>
          </w:p>
        </w:tc>
        <w:tc>
          <w:tcPr>
            <w:tcW w:w="4032" w:type="dxa"/>
            <w:shd w:val="clear" w:color="auto" w:fill="1F3A5F"/>
          </w:tcPr>
          <w:p w14:paraId="1CEBD954" w14:textId="77777777" w:rsidR="001A4EDA" w:rsidRDefault="00000000">
            <w:r>
              <w:rPr>
                <w:b/>
                <w:color w:val="FFFFFF"/>
                <w:sz w:val="20"/>
              </w:rPr>
              <w:t>ADAM Mapping</w:t>
            </w:r>
          </w:p>
        </w:tc>
        <w:tc>
          <w:tcPr>
            <w:tcW w:w="2160" w:type="dxa"/>
            <w:shd w:val="clear" w:color="auto" w:fill="1F3A5F"/>
          </w:tcPr>
          <w:p w14:paraId="1EFD2D74" w14:textId="77777777" w:rsidR="001A4EDA" w:rsidRDefault="00000000">
            <w:r>
              <w:rPr>
                <w:b/>
                <w:color w:val="FFFFFF"/>
                <w:sz w:val="20"/>
              </w:rPr>
              <w:t>Conformance Level</w:t>
            </w:r>
          </w:p>
        </w:tc>
      </w:tr>
      <w:tr w:rsidR="001A4EDA" w14:paraId="2EECED58" w14:textId="77777777">
        <w:trPr>
          <w:jc w:val="center"/>
        </w:trPr>
        <w:tc>
          <w:tcPr>
            <w:tcW w:w="2160" w:type="dxa"/>
          </w:tcPr>
          <w:p w14:paraId="430B3D34" w14:textId="77777777" w:rsidR="001A4EDA" w:rsidRDefault="00000000">
            <w:r>
              <w:rPr>
                <w:sz w:val="18"/>
              </w:rPr>
              <w:t>Party Management</w:t>
            </w:r>
          </w:p>
        </w:tc>
        <w:tc>
          <w:tcPr>
            <w:tcW w:w="2592" w:type="dxa"/>
          </w:tcPr>
          <w:p w14:paraId="2137BDD9" w14:textId="77777777" w:rsidR="001A4EDA" w:rsidRDefault="00000000">
            <w:r>
              <w:rPr>
                <w:sz w:val="18"/>
              </w:rPr>
              <w:t>Manages people, organizations, leads, opportunities. PartyRole abstraction (SID).</w:t>
            </w:r>
          </w:p>
        </w:tc>
        <w:tc>
          <w:tcPr>
            <w:tcW w:w="4032" w:type="dxa"/>
          </w:tcPr>
          <w:p w14:paraId="727AEC05" w14:textId="77777777" w:rsidR="001A4EDA" w:rsidRDefault="00000000">
            <w:r>
              <w:rPr>
                <w:sz w:val="18"/>
              </w:rPr>
              <w:t xml:space="preserve">ADAM’s CORE Engine (Culture, Objectives, Rules, Expectations) encodes party relationships as graph entities. The 5-Director Constitution maps to PartyRole. ADAM extends with </w:t>
            </w:r>
            <w:r>
              <w:rPr>
                <w:sz w:val="18"/>
              </w:rPr>
              <w:lastRenderedPageBreak/>
              <w:t>autonomous governance—party relationships are doctrine-governed, not just data-modeled.</w:t>
            </w:r>
          </w:p>
        </w:tc>
        <w:tc>
          <w:tcPr>
            <w:tcW w:w="2160" w:type="dxa"/>
          </w:tcPr>
          <w:p w14:paraId="70BD72E0" w14:textId="77777777" w:rsidR="001A4EDA" w:rsidRDefault="00000000">
            <w:r>
              <w:rPr>
                <w:sz w:val="18"/>
              </w:rPr>
              <w:lastRenderedPageBreak/>
              <w:t xml:space="preserve">Conforms + Extends. ADAM supports SID Party domain entities </w:t>
            </w:r>
            <w:r>
              <w:rPr>
                <w:sz w:val="18"/>
              </w:rPr>
              <w:lastRenderedPageBreak/>
              <w:t>and adds governance semantics.</w:t>
            </w:r>
          </w:p>
        </w:tc>
      </w:tr>
      <w:tr w:rsidR="001A4EDA" w14:paraId="34D4BC2B" w14:textId="77777777">
        <w:trPr>
          <w:jc w:val="center"/>
        </w:trPr>
        <w:tc>
          <w:tcPr>
            <w:tcW w:w="2160" w:type="dxa"/>
            <w:shd w:val="clear" w:color="auto" w:fill="F2F5F8"/>
          </w:tcPr>
          <w:p w14:paraId="525A0715" w14:textId="77777777" w:rsidR="001A4EDA" w:rsidRDefault="00000000">
            <w:r>
              <w:rPr>
                <w:sz w:val="18"/>
              </w:rPr>
              <w:lastRenderedPageBreak/>
              <w:t>Core Commerce Management</w:t>
            </w:r>
          </w:p>
        </w:tc>
        <w:tc>
          <w:tcPr>
            <w:tcW w:w="2592" w:type="dxa"/>
            <w:shd w:val="clear" w:color="auto" w:fill="F2F5F8"/>
          </w:tcPr>
          <w:p w14:paraId="62CEA0B8" w14:textId="77777777" w:rsidR="001A4EDA" w:rsidRDefault="00000000">
            <w:r>
              <w:rPr>
                <w:sz w:val="18"/>
              </w:rPr>
              <w:t>Order provisioning, catalog management, inventory, billing, commission (TMF641, TMF620, TMF637).</w:t>
            </w:r>
          </w:p>
        </w:tc>
        <w:tc>
          <w:tcPr>
            <w:tcW w:w="4032" w:type="dxa"/>
            <w:shd w:val="clear" w:color="auto" w:fill="F2F5F8"/>
          </w:tcPr>
          <w:p w14:paraId="2BF8A8DB" w14:textId="77777777" w:rsidR="001A4EDA" w:rsidRDefault="00000000">
            <w:r>
              <w:rPr>
                <w:sz w:val="18"/>
              </w:rPr>
              <w:t>ADAM’s Financial Governor Agent and Financial Reconciliation &amp; Royalty Agent handle commerce operations. TMF641 Service Order Management API consumed natively for service orchestration.</w:t>
            </w:r>
          </w:p>
        </w:tc>
        <w:tc>
          <w:tcPr>
            <w:tcW w:w="2160" w:type="dxa"/>
            <w:shd w:val="clear" w:color="auto" w:fill="F2F5F8"/>
          </w:tcPr>
          <w:p w14:paraId="7D72B69E" w14:textId="77777777" w:rsidR="001A4EDA" w:rsidRDefault="00000000">
            <w:r>
              <w:rPr>
                <w:sz w:val="18"/>
              </w:rPr>
              <w:t>Conforms. ADAM consumes TMF641/620/637 APIs as tool invocations within the policy-bounded invocation framework.</w:t>
            </w:r>
          </w:p>
        </w:tc>
      </w:tr>
      <w:tr w:rsidR="001A4EDA" w14:paraId="4CE48B5E" w14:textId="77777777">
        <w:trPr>
          <w:jc w:val="center"/>
        </w:trPr>
        <w:tc>
          <w:tcPr>
            <w:tcW w:w="2160" w:type="dxa"/>
          </w:tcPr>
          <w:p w14:paraId="60437F55" w14:textId="77777777" w:rsidR="001A4EDA" w:rsidRDefault="00000000">
            <w:r>
              <w:rPr>
                <w:sz w:val="18"/>
              </w:rPr>
              <w:t>Production</w:t>
            </w:r>
          </w:p>
        </w:tc>
        <w:tc>
          <w:tcPr>
            <w:tcW w:w="2592" w:type="dxa"/>
          </w:tcPr>
          <w:p w14:paraId="1878C52F" w14:textId="77777777" w:rsidR="001A4EDA" w:rsidRDefault="00000000">
            <w:r>
              <w:rPr>
                <w:sz w:val="18"/>
              </w:rPr>
              <w:t>Service/resource lifecycle, supply chain, workforce, work orders, infrastructure (TMF640, TMF652, TMF688).</w:t>
            </w:r>
          </w:p>
        </w:tc>
        <w:tc>
          <w:tcPr>
            <w:tcW w:w="4032" w:type="dxa"/>
          </w:tcPr>
          <w:p w14:paraId="6C3165BA" w14:textId="77777777" w:rsidR="001A4EDA" w:rsidRDefault="00000000">
            <w:r>
              <w:rPr>
                <w:sz w:val="18"/>
              </w:rPr>
              <w:t>ADAM’s Content Supply Chain Orchestration Service and Self-Healing Live Production Orchestrator map to Production functions. TMF640 Service Activation consumed for infrastructure provisioning.</w:t>
            </w:r>
          </w:p>
        </w:tc>
        <w:tc>
          <w:tcPr>
            <w:tcW w:w="2160" w:type="dxa"/>
          </w:tcPr>
          <w:p w14:paraId="3E187F9D" w14:textId="77777777" w:rsidR="001A4EDA" w:rsidRDefault="00000000">
            <w:r>
              <w:rPr>
                <w:sz w:val="18"/>
              </w:rPr>
              <w:t>Conforms + Extends. ADAM adds NMOS/ST 2110 media-specific protocols alongside TM Forum Production APIs.</w:t>
            </w:r>
          </w:p>
        </w:tc>
      </w:tr>
      <w:tr w:rsidR="001A4EDA" w14:paraId="163B17EB" w14:textId="77777777">
        <w:trPr>
          <w:jc w:val="center"/>
        </w:trPr>
        <w:tc>
          <w:tcPr>
            <w:tcW w:w="2160" w:type="dxa"/>
            <w:shd w:val="clear" w:color="auto" w:fill="F2F5F8"/>
          </w:tcPr>
          <w:p w14:paraId="76C36D1C" w14:textId="77777777" w:rsidR="001A4EDA" w:rsidRDefault="00000000">
            <w:r>
              <w:rPr>
                <w:sz w:val="18"/>
              </w:rPr>
              <w:t>Intelligence Management</w:t>
            </w:r>
          </w:p>
        </w:tc>
        <w:tc>
          <w:tcPr>
            <w:tcW w:w="2592" w:type="dxa"/>
            <w:shd w:val="clear" w:color="auto" w:fill="F2F5F8"/>
          </w:tcPr>
          <w:p w14:paraId="423DD4D1" w14:textId="77777777" w:rsidR="001A4EDA" w:rsidRDefault="00000000">
            <w:r>
              <w:rPr>
                <w:sz w:val="18"/>
              </w:rPr>
              <w:t>Analytics, performance, insight, recommendation management.</w:t>
            </w:r>
          </w:p>
        </w:tc>
        <w:tc>
          <w:tcPr>
            <w:tcW w:w="4032" w:type="dxa"/>
            <w:shd w:val="clear" w:color="auto" w:fill="F2F5F8"/>
          </w:tcPr>
          <w:p w14:paraId="591A2353" w14:textId="77777777" w:rsidR="001A4EDA" w:rsidRDefault="00000000">
            <w:r>
              <w:rPr>
                <w:sz w:val="18"/>
              </w:rPr>
              <w:t>ADAM’s Audience Intelligence &amp; Personalization Governor and Digital Twin analytics capabilities map directly. Performance analytics feed BOSS score recalibration.</w:t>
            </w:r>
          </w:p>
        </w:tc>
        <w:tc>
          <w:tcPr>
            <w:tcW w:w="2160" w:type="dxa"/>
            <w:shd w:val="clear" w:color="auto" w:fill="F2F5F8"/>
          </w:tcPr>
          <w:p w14:paraId="5ACA1957" w14:textId="77777777" w:rsidR="001A4EDA" w:rsidRDefault="00000000">
            <w:r>
              <w:rPr>
                <w:sz w:val="18"/>
              </w:rPr>
              <w:t>Conforms + Extends. ADAM adds autonomous governance of intelligence outputs—recommendations are BOSS-scored before delivery.</w:t>
            </w:r>
          </w:p>
        </w:tc>
      </w:tr>
      <w:tr w:rsidR="001A4EDA" w14:paraId="45EFDD24" w14:textId="77777777">
        <w:trPr>
          <w:jc w:val="center"/>
        </w:trPr>
        <w:tc>
          <w:tcPr>
            <w:tcW w:w="2160" w:type="dxa"/>
          </w:tcPr>
          <w:p w14:paraId="741148C4" w14:textId="77777777" w:rsidR="001A4EDA" w:rsidRDefault="00000000">
            <w:r>
              <w:rPr>
                <w:sz w:val="18"/>
              </w:rPr>
              <w:t>Engagement Management</w:t>
            </w:r>
          </w:p>
        </w:tc>
        <w:tc>
          <w:tcPr>
            <w:tcW w:w="2592" w:type="dxa"/>
          </w:tcPr>
          <w:p w14:paraId="56218276" w14:textId="77777777" w:rsidR="001A4EDA" w:rsidRDefault="00000000">
            <w:r>
              <w:rPr>
                <w:sz w:val="18"/>
              </w:rPr>
              <w:t>Channel management, content management, customer experience, interaction management.</w:t>
            </w:r>
          </w:p>
        </w:tc>
        <w:tc>
          <w:tcPr>
            <w:tcW w:w="4032" w:type="dxa"/>
          </w:tcPr>
          <w:p w14:paraId="5E96BB10" w14:textId="77777777" w:rsidR="001A4EDA" w:rsidRDefault="00000000">
            <w:r>
              <w:rPr>
                <w:sz w:val="18"/>
              </w:rPr>
              <w:t>ADAM’s Multi-Platform Distribution Orchestrator and Trust &amp; Editorial Standards Service handle engagement. Content management is governed by the Content Lifecycle Twin.</w:t>
            </w:r>
          </w:p>
        </w:tc>
        <w:tc>
          <w:tcPr>
            <w:tcW w:w="2160" w:type="dxa"/>
          </w:tcPr>
          <w:p w14:paraId="5793389E" w14:textId="77777777" w:rsidR="001A4EDA" w:rsidRDefault="00000000">
            <w:r>
              <w:rPr>
                <w:sz w:val="18"/>
              </w:rPr>
              <w:t>Conforms + Extends. ADAM adds doctrine-level editorial and trust governance that TM Forum does not define.</w:t>
            </w:r>
          </w:p>
        </w:tc>
      </w:tr>
      <w:tr w:rsidR="001A4EDA" w14:paraId="11A51B1A" w14:textId="77777777">
        <w:trPr>
          <w:jc w:val="center"/>
        </w:trPr>
        <w:tc>
          <w:tcPr>
            <w:tcW w:w="2160" w:type="dxa"/>
            <w:shd w:val="clear" w:color="auto" w:fill="F2F5F8"/>
          </w:tcPr>
          <w:p w14:paraId="1E037C75" w14:textId="77777777" w:rsidR="001A4EDA" w:rsidRDefault="00000000">
            <w:r>
              <w:rPr>
                <w:sz w:val="18"/>
              </w:rPr>
              <w:t>Decoupling &amp; Integration</w:t>
            </w:r>
          </w:p>
        </w:tc>
        <w:tc>
          <w:tcPr>
            <w:tcW w:w="2592" w:type="dxa"/>
            <w:shd w:val="clear" w:color="auto" w:fill="F2F5F8"/>
          </w:tcPr>
          <w:p w14:paraId="06CA47D5" w14:textId="77777777" w:rsidR="001A4EDA" w:rsidRDefault="00000000">
            <w:r>
              <w:rPr>
                <w:sz w:val="18"/>
              </w:rPr>
              <w:t>Manages separation between functional blocks. Ensures flexible integration without predefined patterns.</w:t>
            </w:r>
          </w:p>
        </w:tc>
        <w:tc>
          <w:tcPr>
            <w:tcW w:w="4032" w:type="dxa"/>
            <w:shd w:val="clear" w:color="auto" w:fill="F2F5F8"/>
          </w:tcPr>
          <w:p w14:paraId="19327A1E" w14:textId="77777777" w:rsidR="001A4EDA" w:rsidRDefault="00000000">
            <w:r>
              <w:rPr>
                <w:sz w:val="18"/>
              </w:rPr>
              <w:t>ADAM’s Interoperability Plane (Interoperability Plane (IV.7)) with MCP/A2A protocols provides the decoupling layer. TM Forum Open APIs are consumed as standard tool invocations.</w:t>
            </w:r>
          </w:p>
        </w:tc>
        <w:tc>
          <w:tcPr>
            <w:tcW w:w="2160" w:type="dxa"/>
            <w:shd w:val="clear" w:color="auto" w:fill="F2F5F8"/>
          </w:tcPr>
          <w:p w14:paraId="40838C2B" w14:textId="77777777" w:rsidR="001A4EDA" w:rsidRDefault="00000000">
            <w:r>
              <w:rPr>
                <w:sz w:val="18"/>
              </w:rPr>
              <w:t>Conforms. ADAM’s invocation contract model is architecturally aligned with ODA’s decoupling philosophy.</w:t>
            </w:r>
          </w:p>
        </w:tc>
      </w:tr>
    </w:tbl>
    <w:p w14:paraId="060D60E2" w14:textId="77777777" w:rsidR="001A4EDA" w:rsidRDefault="001A4EDA"/>
    <w:p w14:paraId="4A4A6690" w14:textId="77777777" w:rsidR="001A4EDA" w:rsidRDefault="00000000">
      <w:pPr>
        <w:pStyle w:val="Heading3"/>
      </w:pPr>
      <w:bookmarkStart w:id="10" w:name="_Toc227587131"/>
      <w:r>
        <w:t>TM Forum Open API Consumption</w:t>
      </w:r>
      <w:bookmarkEnd w:id="10"/>
    </w:p>
    <w:p w14:paraId="234D7F73" w14:textId="77777777" w:rsidR="001A4EDA" w:rsidRDefault="00000000">
      <w:r>
        <w:t>ADAM consumes TM Forum Open APIs as standard tool invocations within the Policy-Bounded Tool Invocation framework (Part V of core ADAM). Each API call is scored, authorized, and evidenced identically to any other tool invocation. The following APIs are consumed natively in media deployments:</w:t>
      </w:r>
    </w:p>
    <w:tbl>
      <w:tblPr>
        <w:tblStyle w:val="TableGrid"/>
        <w:tblW w:w="0" w:type="auto"/>
        <w:jc w:val="center"/>
        <w:tblLook w:val="04A0" w:firstRow="1" w:lastRow="0" w:firstColumn="1" w:lastColumn="0" w:noHBand="0" w:noVBand="1"/>
      </w:tblPr>
      <w:tblGrid>
        <w:gridCol w:w="2139"/>
        <w:gridCol w:w="3274"/>
        <w:gridCol w:w="3937"/>
      </w:tblGrid>
      <w:tr w:rsidR="001A4EDA" w14:paraId="03923FA6" w14:textId="77777777">
        <w:trPr>
          <w:jc w:val="center"/>
        </w:trPr>
        <w:tc>
          <w:tcPr>
            <w:tcW w:w="2592" w:type="dxa"/>
            <w:shd w:val="clear" w:color="auto" w:fill="1F3A5F"/>
          </w:tcPr>
          <w:p w14:paraId="6F1F3026" w14:textId="77777777" w:rsidR="001A4EDA" w:rsidRDefault="00000000">
            <w:r>
              <w:rPr>
                <w:b/>
                <w:color w:val="FFFFFF"/>
                <w:sz w:val="20"/>
              </w:rPr>
              <w:t>TM Forum API</w:t>
            </w:r>
          </w:p>
        </w:tc>
        <w:tc>
          <w:tcPr>
            <w:tcW w:w="4320" w:type="dxa"/>
            <w:shd w:val="clear" w:color="auto" w:fill="1F3A5F"/>
          </w:tcPr>
          <w:p w14:paraId="1A8705B0" w14:textId="77777777" w:rsidR="001A4EDA" w:rsidRDefault="00000000">
            <w:r>
              <w:rPr>
                <w:b/>
                <w:color w:val="FFFFFF"/>
                <w:sz w:val="20"/>
              </w:rPr>
              <w:t>ADAM Usage</w:t>
            </w:r>
          </w:p>
        </w:tc>
        <w:tc>
          <w:tcPr>
            <w:tcW w:w="5328" w:type="dxa"/>
            <w:shd w:val="clear" w:color="auto" w:fill="1F3A5F"/>
          </w:tcPr>
          <w:p w14:paraId="48F1E95C" w14:textId="77777777" w:rsidR="001A4EDA" w:rsidRDefault="00000000">
            <w:r>
              <w:rPr>
                <w:b/>
                <w:color w:val="FFFFFF"/>
                <w:sz w:val="20"/>
              </w:rPr>
              <w:t>Invocation Pattern</w:t>
            </w:r>
          </w:p>
        </w:tc>
      </w:tr>
      <w:tr w:rsidR="001A4EDA" w14:paraId="5D7382F6" w14:textId="77777777">
        <w:trPr>
          <w:jc w:val="center"/>
        </w:trPr>
        <w:tc>
          <w:tcPr>
            <w:tcW w:w="2592" w:type="dxa"/>
          </w:tcPr>
          <w:p w14:paraId="1CA072E3" w14:textId="77777777" w:rsidR="001A4EDA" w:rsidRDefault="00000000">
            <w:r>
              <w:rPr>
                <w:sz w:val="18"/>
              </w:rPr>
              <w:t>TMF641 — Service Order Management</w:t>
            </w:r>
          </w:p>
        </w:tc>
        <w:tc>
          <w:tcPr>
            <w:tcW w:w="4320" w:type="dxa"/>
          </w:tcPr>
          <w:p w14:paraId="52642F0D" w14:textId="77777777" w:rsidR="001A4EDA" w:rsidRDefault="00000000">
            <w:r>
              <w:rPr>
                <w:sz w:val="18"/>
              </w:rPr>
              <w:t>Content service provisioning, platform onboarding, distribution channel activation.</w:t>
            </w:r>
          </w:p>
        </w:tc>
        <w:tc>
          <w:tcPr>
            <w:tcW w:w="5328" w:type="dxa"/>
          </w:tcPr>
          <w:p w14:paraId="686DF597" w14:textId="77777777" w:rsidR="001A4EDA" w:rsidRDefault="00000000">
            <w:r>
              <w:rPr>
                <w:sz w:val="18"/>
              </w:rPr>
              <w:t>Policy-bounded invocation. BOSS scores the financial and operational impact of each service order before execution.</w:t>
            </w:r>
          </w:p>
        </w:tc>
      </w:tr>
      <w:tr w:rsidR="001A4EDA" w14:paraId="649283CF" w14:textId="77777777">
        <w:trPr>
          <w:jc w:val="center"/>
        </w:trPr>
        <w:tc>
          <w:tcPr>
            <w:tcW w:w="2592" w:type="dxa"/>
            <w:shd w:val="clear" w:color="auto" w:fill="F2F5F8"/>
          </w:tcPr>
          <w:p w14:paraId="337400CB" w14:textId="77777777" w:rsidR="001A4EDA" w:rsidRDefault="00000000">
            <w:r>
              <w:rPr>
                <w:sz w:val="18"/>
              </w:rPr>
              <w:t>TMF921/921A — Intent Management</w:t>
            </w:r>
          </w:p>
        </w:tc>
        <w:tc>
          <w:tcPr>
            <w:tcW w:w="4320" w:type="dxa"/>
            <w:shd w:val="clear" w:color="auto" w:fill="F2F5F8"/>
          </w:tcPr>
          <w:p w14:paraId="044F3508" w14:textId="77777777" w:rsidR="001A4EDA" w:rsidRDefault="00000000">
            <w:r>
              <w:rPr>
                <w:sz w:val="18"/>
              </w:rPr>
              <w:t xml:space="preserve">Business intent translation into ADAM Intent Objects. TMF921A Intent </w:t>
            </w:r>
            <w:r>
              <w:rPr>
                <w:sz w:val="18"/>
              </w:rPr>
              <w:lastRenderedPageBreak/>
              <w:t>Management API Profile consumed for intent lifecycle management.</w:t>
            </w:r>
          </w:p>
        </w:tc>
        <w:tc>
          <w:tcPr>
            <w:tcW w:w="5328" w:type="dxa"/>
            <w:shd w:val="clear" w:color="auto" w:fill="F2F5F8"/>
          </w:tcPr>
          <w:p w14:paraId="6DB219BE" w14:textId="77777777" w:rsidR="001A4EDA" w:rsidRDefault="00000000">
            <w:r>
              <w:rPr>
                <w:sz w:val="18"/>
              </w:rPr>
              <w:lastRenderedPageBreak/>
              <w:t xml:space="preserve">Direct mapping: TM Forum’s intent specification maps to ADAM’s Intent Object schema. ADAM </w:t>
            </w:r>
            <w:r>
              <w:rPr>
                <w:sz w:val="18"/>
              </w:rPr>
              <w:lastRenderedPageBreak/>
              <w:t>extends with BOSS scoring and Cryptographic Authorization Vault authorization of intents.</w:t>
            </w:r>
          </w:p>
        </w:tc>
      </w:tr>
      <w:tr w:rsidR="001A4EDA" w14:paraId="6E1ED1C2" w14:textId="77777777">
        <w:trPr>
          <w:jc w:val="center"/>
        </w:trPr>
        <w:tc>
          <w:tcPr>
            <w:tcW w:w="2592" w:type="dxa"/>
          </w:tcPr>
          <w:p w14:paraId="63D78AB7" w14:textId="77777777" w:rsidR="001A4EDA" w:rsidRDefault="00000000">
            <w:r>
              <w:rPr>
                <w:sz w:val="18"/>
              </w:rPr>
              <w:lastRenderedPageBreak/>
              <w:t>TMF634 — Resource Catalog</w:t>
            </w:r>
          </w:p>
        </w:tc>
        <w:tc>
          <w:tcPr>
            <w:tcW w:w="4320" w:type="dxa"/>
          </w:tcPr>
          <w:p w14:paraId="5EF18B9C" w14:textId="77777777" w:rsidR="001A4EDA" w:rsidRDefault="00000000">
            <w:r>
              <w:rPr>
                <w:sz w:val="18"/>
              </w:rPr>
              <w:t>Infrastructure resource discovery and specification for media production resources.</w:t>
            </w:r>
          </w:p>
        </w:tc>
        <w:tc>
          <w:tcPr>
            <w:tcW w:w="5328" w:type="dxa"/>
          </w:tcPr>
          <w:p w14:paraId="7385C68C" w14:textId="77777777" w:rsidR="001A4EDA" w:rsidRDefault="00000000">
            <w:r>
              <w:rPr>
                <w:sz w:val="18"/>
              </w:rPr>
              <w:t>Read-only consumption. Resource specifications inform Digital Twin models and capacity planning.</w:t>
            </w:r>
          </w:p>
        </w:tc>
      </w:tr>
      <w:tr w:rsidR="001A4EDA" w14:paraId="0236CAE6" w14:textId="77777777">
        <w:trPr>
          <w:jc w:val="center"/>
        </w:trPr>
        <w:tc>
          <w:tcPr>
            <w:tcW w:w="2592" w:type="dxa"/>
            <w:shd w:val="clear" w:color="auto" w:fill="F2F5F8"/>
          </w:tcPr>
          <w:p w14:paraId="2F61E4B5" w14:textId="77777777" w:rsidR="001A4EDA" w:rsidRDefault="00000000">
            <w:r>
              <w:rPr>
                <w:sz w:val="18"/>
              </w:rPr>
              <w:t>TMF688 — Event Management</w:t>
            </w:r>
          </w:p>
        </w:tc>
        <w:tc>
          <w:tcPr>
            <w:tcW w:w="4320" w:type="dxa"/>
            <w:shd w:val="clear" w:color="auto" w:fill="F2F5F8"/>
          </w:tcPr>
          <w:p w14:paraId="598FB684" w14:textId="77777777" w:rsidR="001A4EDA" w:rsidRDefault="00000000">
            <w:r>
              <w:rPr>
                <w:sz w:val="18"/>
              </w:rPr>
              <w:t>Asynchronous event integration between ADAM and TM Forum-compliant systems.</w:t>
            </w:r>
          </w:p>
        </w:tc>
        <w:tc>
          <w:tcPr>
            <w:tcW w:w="5328" w:type="dxa"/>
            <w:shd w:val="clear" w:color="auto" w:fill="F2F5F8"/>
          </w:tcPr>
          <w:p w14:paraId="7959B9B8" w14:textId="77777777" w:rsidR="001A4EDA" w:rsidRDefault="00000000">
            <w:r>
              <w:rPr>
                <w:sz w:val="18"/>
              </w:rPr>
              <w:t>ADAM’s Azure Service Bus event architecture maps to TMF688 event hub patterns. Events are Flight Recorder-captured.</w:t>
            </w:r>
          </w:p>
        </w:tc>
      </w:tr>
      <w:tr w:rsidR="001A4EDA" w14:paraId="23A8D902" w14:textId="77777777">
        <w:trPr>
          <w:jc w:val="center"/>
        </w:trPr>
        <w:tc>
          <w:tcPr>
            <w:tcW w:w="2592" w:type="dxa"/>
          </w:tcPr>
          <w:p w14:paraId="0B128132" w14:textId="77777777" w:rsidR="001A4EDA" w:rsidRDefault="00000000">
            <w:r>
              <w:rPr>
                <w:sz w:val="18"/>
              </w:rPr>
              <w:t>TMF651 — Agreement Management</w:t>
            </w:r>
          </w:p>
        </w:tc>
        <w:tc>
          <w:tcPr>
            <w:tcW w:w="4320" w:type="dxa"/>
          </w:tcPr>
          <w:p w14:paraId="5FF31203" w14:textId="77777777" w:rsidR="001A4EDA" w:rsidRDefault="00000000">
            <w:r>
              <w:rPr>
                <w:sz w:val="18"/>
              </w:rPr>
              <w:t>Content licensing agreements, partner contracts, distribution agreements.</w:t>
            </w:r>
          </w:p>
        </w:tc>
        <w:tc>
          <w:tcPr>
            <w:tcW w:w="5328" w:type="dxa"/>
          </w:tcPr>
          <w:p w14:paraId="0B06EC6D" w14:textId="77777777" w:rsidR="001A4EDA" w:rsidRDefault="00000000">
            <w:r>
              <w:rPr>
                <w:sz w:val="18"/>
              </w:rPr>
              <w:t>Agreement terms feed the Cryptographic Authorization Vault. Agreement lifecycle events trigger rights verification updates.</w:t>
            </w:r>
          </w:p>
        </w:tc>
      </w:tr>
    </w:tbl>
    <w:p w14:paraId="1F99D92D" w14:textId="77777777" w:rsidR="001A4EDA" w:rsidRDefault="001A4EDA"/>
    <w:p w14:paraId="6C2D56B5" w14:textId="77777777" w:rsidR="001A4EDA" w:rsidRDefault="00000000">
      <w:r>
        <w:rPr>
          <w:i/>
          <w:color w:val="2E75B6"/>
          <w:sz w:val="18"/>
        </w:rPr>
        <w:t>Reference: TM Forum Open Digital Architecture — https://www.tmforum.org/open-digital-architecture/</w:t>
      </w:r>
    </w:p>
    <w:p w14:paraId="226442E9" w14:textId="77777777" w:rsidR="001A4EDA" w:rsidRDefault="00000000">
      <w:r>
        <w:rPr>
          <w:i/>
          <w:color w:val="2E75B6"/>
          <w:sz w:val="18"/>
        </w:rPr>
        <w:t>Reference: TM Forum Open APIs — https://www.tmforum.org/oda/open-apis/</w:t>
      </w:r>
    </w:p>
    <w:p w14:paraId="7B67A082" w14:textId="77777777" w:rsidR="001A4EDA" w:rsidRDefault="00000000">
      <w:r>
        <w:rPr>
          <w:i/>
          <w:color w:val="2E75B6"/>
          <w:sz w:val="18"/>
        </w:rPr>
        <w:t>Reference: TM Forum Intent Management API Profile v1.1.0 — TMF921A</w:t>
      </w:r>
    </w:p>
    <w:p w14:paraId="5185A073" w14:textId="77777777" w:rsidR="001A4EDA" w:rsidRDefault="00000000">
      <w:pPr>
        <w:pStyle w:val="Heading3"/>
      </w:pPr>
      <w:bookmarkStart w:id="11" w:name="_Toc227587132"/>
      <w:r>
        <w:t>TM Forum Autonomous Networks Alignment</w:t>
      </w:r>
      <w:bookmarkEnd w:id="11"/>
    </w:p>
    <w:p w14:paraId="0E69341F" w14:textId="77777777" w:rsidR="001A4EDA" w:rsidRDefault="00000000">
      <w:r>
        <w:t>TM Forum’s Intent-Driven Autonomous Networks (IDAN) initiative defines an autonomy maturity model and intent-based operations framework that is structurally aligned with ADAM’s approach. ADAM’s Maturity Model (Part XIII-A) draws on TM Forum’s Autonomous Operations Maturity Model (AOMM v1.5.0) for structural influence while extending it with governance-specific indicators.</w:t>
      </w:r>
    </w:p>
    <w:tbl>
      <w:tblPr>
        <w:tblStyle w:val="TableGrid"/>
        <w:tblW w:w="0" w:type="auto"/>
        <w:jc w:val="center"/>
        <w:tblLook w:val="04A0" w:firstRow="1" w:lastRow="0" w:firstColumn="1" w:lastColumn="0" w:noHBand="0" w:noVBand="1"/>
      </w:tblPr>
      <w:tblGrid>
        <w:gridCol w:w="2787"/>
        <w:gridCol w:w="3306"/>
        <w:gridCol w:w="3257"/>
      </w:tblGrid>
      <w:tr w:rsidR="001A4EDA" w14:paraId="06FDB32F" w14:textId="77777777">
        <w:trPr>
          <w:jc w:val="center"/>
        </w:trPr>
        <w:tc>
          <w:tcPr>
            <w:tcW w:w="3600" w:type="dxa"/>
            <w:shd w:val="clear" w:color="auto" w:fill="1F3A5F"/>
          </w:tcPr>
          <w:p w14:paraId="750142A7" w14:textId="77777777" w:rsidR="001A4EDA" w:rsidRDefault="00000000">
            <w:r>
              <w:rPr>
                <w:b/>
                <w:color w:val="FFFFFF"/>
                <w:sz w:val="20"/>
              </w:rPr>
              <w:t>TM Forum IDAN Concept</w:t>
            </w:r>
          </w:p>
        </w:tc>
        <w:tc>
          <w:tcPr>
            <w:tcW w:w="4320" w:type="dxa"/>
            <w:shd w:val="clear" w:color="auto" w:fill="1F3A5F"/>
          </w:tcPr>
          <w:p w14:paraId="4C67061D" w14:textId="77777777" w:rsidR="001A4EDA" w:rsidRDefault="00000000">
            <w:r>
              <w:rPr>
                <w:b/>
                <w:color w:val="FFFFFF"/>
                <w:sz w:val="20"/>
              </w:rPr>
              <w:t>ADAM Equivalent</w:t>
            </w:r>
          </w:p>
        </w:tc>
        <w:tc>
          <w:tcPr>
            <w:tcW w:w="4320" w:type="dxa"/>
            <w:shd w:val="clear" w:color="auto" w:fill="1F3A5F"/>
          </w:tcPr>
          <w:p w14:paraId="276273B5" w14:textId="77777777" w:rsidR="001A4EDA" w:rsidRDefault="00000000">
            <w:r>
              <w:rPr>
                <w:b/>
                <w:color w:val="FFFFFF"/>
                <w:sz w:val="20"/>
              </w:rPr>
              <w:t>Alignment</w:t>
            </w:r>
          </w:p>
        </w:tc>
      </w:tr>
      <w:tr w:rsidR="001A4EDA" w14:paraId="6A851BBD" w14:textId="77777777">
        <w:trPr>
          <w:jc w:val="center"/>
        </w:trPr>
        <w:tc>
          <w:tcPr>
            <w:tcW w:w="3600" w:type="dxa"/>
          </w:tcPr>
          <w:p w14:paraId="4DCFD00A" w14:textId="77777777" w:rsidR="001A4EDA" w:rsidRDefault="00000000">
            <w:r>
              <w:rPr>
                <w:sz w:val="18"/>
              </w:rPr>
              <w:t>Intent Specification (formal requirements, goals, constraints)</w:t>
            </w:r>
          </w:p>
        </w:tc>
        <w:tc>
          <w:tcPr>
            <w:tcW w:w="4320" w:type="dxa"/>
          </w:tcPr>
          <w:p w14:paraId="386CF1CA" w14:textId="77777777" w:rsidR="001A4EDA" w:rsidRDefault="00000000">
            <w:r>
              <w:rPr>
                <w:sz w:val="18"/>
              </w:rPr>
              <w:t>Intent Object (structured JSON with desired outcomes, constraints, risk tolerances, urgency, approval conditions)</w:t>
            </w:r>
          </w:p>
        </w:tc>
        <w:tc>
          <w:tcPr>
            <w:tcW w:w="4320" w:type="dxa"/>
          </w:tcPr>
          <w:p w14:paraId="4684AA46" w14:textId="77777777" w:rsidR="001A4EDA" w:rsidRDefault="00000000">
            <w:r>
              <w:rPr>
                <w:sz w:val="18"/>
              </w:rPr>
              <w:t>Exact alignment in concept. ADAM’s Intent Object schema is a superset of TMF921’s intent specification, adding BOSS scoring context and Cryptographic Authorization Vault authorization requirements.</w:t>
            </w:r>
          </w:p>
        </w:tc>
      </w:tr>
      <w:tr w:rsidR="001A4EDA" w14:paraId="42047635" w14:textId="77777777">
        <w:trPr>
          <w:jc w:val="center"/>
        </w:trPr>
        <w:tc>
          <w:tcPr>
            <w:tcW w:w="3600" w:type="dxa"/>
            <w:shd w:val="clear" w:color="auto" w:fill="F2F5F8"/>
          </w:tcPr>
          <w:p w14:paraId="0F861979" w14:textId="77777777" w:rsidR="001A4EDA" w:rsidRDefault="00000000">
            <w:r>
              <w:rPr>
                <w:sz w:val="18"/>
              </w:rPr>
              <w:t>Autonomous Operations Maturity (Levels 0–5)</w:t>
            </w:r>
          </w:p>
        </w:tc>
        <w:tc>
          <w:tcPr>
            <w:tcW w:w="4320" w:type="dxa"/>
            <w:shd w:val="clear" w:color="auto" w:fill="F2F5F8"/>
          </w:tcPr>
          <w:p w14:paraId="268BFB72" w14:textId="77777777" w:rsidR="001A4EDA" w:rsidRDefault="00000000">
            <w:r>
              <w:rPr>
                <w:sz w:val="18"/>
              </w:rPr>
              <w:t>ADAM Maturity Model (L0 Manual through L5 Adaptive Autonomy)</w:t>
            </w:r>
          </w:p>
        </w:tc>
        <w:tc>
          <w:tcPr>
            <w:tcW w:w="4320" w:type="dxa"/>
            <w:shd w:val="clear" w:color="auto" w:fill="F2F5F8"/>
          </w:tcPr>
          <w:p w14:paraId="6339F8A3" w14:textId="77777777" w:rsidR="001A4EDA" w:rsidRDefault="00000000">
            <w:r>
              <w:rPr>
                <w:sz w:val="18"/>
              </w:rPr>
              <w:t>Structural alignment. ADAM’s maturity model maps to AOMM levels with additional governance-specific indicators at each level.</w:t>
            </w:r>
          </w:p>
        </w:tc>
      </w:tr>
      <w:tr w:rsidR="001A4EDA" w14:paraId="01088027" w14:textId="77777777">
        <w:trPr>
          <w:jc w:val="center"/>
        </w:trPr>
        <w:tc>
          <w:tcPr>
            <w:tcW w:w="3600" w:type="dxa"/>
          </w:tcPr>
          <w:p w14:paraId="4037A5CC" w14:textId="77777777" w:rsidR="001A4EDA" w:rsidRDefault="00000000">
            <w:r>
              <w:rPr>
                <w:sz w:val="18"/>
              </w:rPr>
              <w:t>Closed-Loop Automation</w:t>
            </w:r>
          </w:p>
        </w:tc>
        <w:tc>
          <w:tcPr>
            <w:tcW w:w="4320" w:type="dxa"/>
          </w:tcPr>
          <w:p w14:paraId="31E05515" w14:textId="77777777" w:rsidR="001A4EDA" w:rsidRDefault="00000000">
            <w:r>
              <w:rPr>
                <w:sz w:val="18"/>
              </w:rPr>
              <w:t>ADAM Governance Feedback Loops (Detection → Analysis → Proposal → Authorization → Implementation → Verification)</w:t>
            </w:r>
          </w:p>
        </w:tc>
        <w:tc>
          <w:tcPr>
            <w:tcW w:w="4320" w:type="dxa"/>
          </w:tcPr>
          <w:p w14:paraId="062CD588" w14:textId="77777777" w:rsidR="001A4EDA" w:rsidRDefault="00000000">
            <w:r>
              <w:rPr>
                <w:sz w:val="18"/>
              </w:rPr>
              <w:t>Exact alignment in pattern. ADAM adds human authorization gate and Cryptographic Authorization Vault evidence at the governance change boundary.</w:t>
            </w:r>
          </w:p>
        </w:tc>
      </w:tr>
    </w:tbl>
    <w:p w14:paraId="3E28FF0E" w14:textId="77777777" w:rsidR="001A4EDA" w:rsidRDefault="001A4EDA"/>
    <w:p w14:paraId="45CDA057" w14:textId="77777777" w:rsidR="001A4EDA" w:rsidRDefault="00000000">
      <w:pPr>
        <w:pStyle w:val="Heading2"/>
      </w:pPr>
      <w:bookmarkStart w:id="12" w:name="_Toc227587133"/>
      <w:r>
        <w:t>II.7 Additional Media Industry Standards</w:t>
      </w:r>
      <w:bookmarkEnd w:id="12"/>
    </w:p>
    <w:p w14:paraId="7C8D1041" w14:textId="77777777" w:rsidR="001A4EDA" w:rsidRDefault="00000000">
      <w:r>
        <w:t>Beyond TM Forum, the media industry operates within a constellation of specialized technical standards that ADAM must consume, conform to, or integrate with. The following table defines ADAM’s position relative to each standard and how it is integrated into the media deployment.</w:t>
      </w:r>
    </w:p>
    <w:tbl>
      <w:tblPr>
        <w:tblStyle w:val="TableGrid"/>
        <w:tblW w:w="0" w:type="auto"/>
        <w:jc w:val="center"/>
        <w:tblLook w:val="04A0" w:firstRow="1" w:lastRow="0" w:firstColumn="1" w:lastColumn="0" w:noHBand="0" w:noVBand="1"/>
      </w:tblPr>
      <w:tblGrid>
        <w:gridCol w:w="2545"/>
        <w:gridCol w:w="2986"/>
        <w:gridCol w:w="3819"/>
      </w:tblGrid>
      <w:tr w:rsidR="001A4EDA" w14:paraId="3ECD42C2" w14:textId="77777777">
        <w:trPr>
          <w:jc w:val="center"/>
        </w:trPr>
        <w:tc>
          <w:tcPr>
            <w:tcW w:w="2880" w:type="dxa"/>
            <w:shd w:val="clear" w:color="auto" w:fill="1F3A5F"/>
          </w:tcPr>
          <w:p w14:paraId="4AB587F9" w14:textId="77777777" w:rsidR="001A4EDA" w:rsidRDefault="00000000">
            <w:r>
              <w:rPr>
                <w:b/>
                <w:color w:val="FFFFFF"/>
                <w:sz w:val="20"/>
              </w:rPr>
              <w:lastRenderedPageBreak/>
              <w:t>Standard/Framework</w:t>
            </w:r>
          </w:p>
        </w:tc>
        <w:tc>
          <w:tcPr>
            <w:tcW w:w="4032" w:type="dxa"/>
            <w:shd w:val="clear" w:color="auto" w:fill="1F3A5F"/>
          </w:tcPr>
          <w:p w14:paraId="312E26C3" w14:textId="77777777" w:rsidR="001A4EDA" w:rsidRDefault="00000000">
            <w:r>
              <w:rPr>
                <w:b/>
                <w:color w:val="FFFFFF"/>
                <w:sz w:val="20"/>
              </w:rPr>
              <w:t>Relevance to ADAM Media</w:t>
            </w:r>
          </w:p>
        </w:tc>
        <w:tc>
          <w:tcPr>
            <w:tcW w:w="5328" w:type="dxa"/>
            <w:shd w:val="clear" w:color="auto" w:fill="1F3A5F"/>
          </w:tcPr>
          <w:p w14:paraId="5291CF5F" w14:textId="77777777" w:rsidR="001A4EDA" w:rsidRDefault="00000000">
            <w:r>
              <w:rPr>
                <w:b/>
                <w:color w:val="FFFFFF"/>
                <w:sz w:val="20"/>
              </w:rPr>
              <w:t>ADAM Position</w:t>
            </w:r>
          </w:p>
        </w:tc>
      </w:tr>
      <w:tr w:rsidR="001A4EDA" w14:paraId="7F665EB3" w14:textId="77777777">
        <w:trPr>
          <w:jc w:val="center"/>
        </w:trPr>
        <w:tc>
          <w:tcPr>
            <w:tcW w:w="2880" w:type="dxa"/>
          </w:tcPr>
          <w:p w14:paraId="6386DEBF" w14:textId="77777777" w:rsidR="001A4EDA" w:rsidRDefault="00000000">
            <w:r>
              <w:rPr>
                <w:sz w:val="18"/>
              </w:rPr>
              <w:t>NMOS (AMWA IS-04 through IS-12)</w:t>
            </w:r>
          </w:p>
        </w:tc>
        <w:tc>
          <w:tcPr>
            <w:tcW w:w="4032" w:type="dxa"/>
          </w:tcPr>
          <w:p w14:paraId="481C3029" w14:textId="77777777" w:rsidR="001A4EDA" w:rsidRDefault="00000000">
            <w:r>
              <w:rPr>
                <w:sz w:val="18"/>
              </w:rPr>
              <w:t>Discovery, registration, connection management, and control of networked media devices in IP production environments.</w:t>
            </w:r>
          </w:p>
        </w:tc>
        <w:tc>
          <w:tcPr>
            <w:tcW w:w="5328" w:type="dxa"/>
          </w:tcPr>
          <w:p w14:paraId="7C706883" w14:textId="77777777" w:rsidR="001A4EDA" w:rsidRDefault="00000000">
            <w:r>
              <w:rPr>
                <w:sz w:val="18"/>
              </w:rPr>
              <w:t>ADAM’s Self-Healing Live Production Orchestrator natively consumes NMOS IS-04 (Discovery v1.3.3), IS-05 (Connection Management v1.2.2), IS-06 (Network Control), IS-07 (Event &amp; Tally), IS-10 (Authorization), IS-11 (Stream Compatibility v1.1), and IS-12 (Control Protocol). ADAM extends NMOS with autonomous governance—connection decisions are BOSS-scored.</w:t>
            </w:r>
          </w:p>
        </w:tc>
      </w:tr>
      <w:tr w:rsidR="001A4EDA" w14:paraId="1AF791EA" w14:textId="77777777">
        <w:trPr>
          <w:jc w:val="center"/>
        </w:trPr>
        <w:tc>
          <w:tcPr>
            <w:tcW w:w="2880" w:type="dxa"/>
            <w:shd w:val="clear" w:color="auto" w:fill="F2F5F8"/>
          </w:tcPr>
          <w:p w14:paraId="154BF5A3" w14:textId="77777777" w:rsidR="001A4EDA" w:rsidRDefault="00000000">
            <w:r>
              <w:rPr>
                <w:sz w:val="18"/>
              </w:rPr>
              <w:t>SMPTE ST 2110</w:t>
            </w:r>
          </w:p>
        </w:tc>
        <w:tc>
          <w:tcPr>
            <w:tcW w:w="4032" w:type="dxa"/>
            <w:shd w:val="clear" w:color="auto" w:fill="F2F5F8"/>
          </w:tcPr>
          <w:p w14:paraId="1E1B2464" w14:textId="77777777" w:rsidR="001A4EDA" w:rsidRDefault="00000000">
            <w:r>
              <w:rPr>
                <w:sz w:val="18"/>
              </w:rPr>
              <w:t>Professional media over IP: uncompressed video (ST 2110-20), audio (ST 2110-30), ancillary data (ST 2110-40), timing (ST 2110-10/PTP).</w:t>
            </w:r>
          </w:p>
        </w:tc>
        <w:tc>
          <w:tcPr>
            <w:tcW w:w="5328" w:type="dxa"/>
            <w:shd w:val="clear" w:color="auto" w:fill="F2F5F8"/>
          </w:tcPr>
          <w:p w14:paraId="124FD052" w14:textId="77777777" w:rsidR="001A4EDA" w:rsidRDefault="00000000">
            <w:r>
              <w:rPr>
                <w:sz w:val="18"/>
              </w:rPr>
              <w:t>ADAM’s media interoperability layer integrates ST 2110 transport as a first-class infrastructure type. PTP synchronization monitoring is a Digital Twin capability. 2025 Emmy Award-winning standard—production-proven and ADAM-integrated.</w:t>
            </w:r>
          </w:p>
        </w:tc>
      </w:tr>
      <w:tr w:rsidR="001A4EDA" w14:paraId="03B92818" w14:textId="77777777">
        <w:trPr>
          <w:jc w:val="center"/>
        </w:trPr>
        <w:tc>
          <w:tcPr>
            <w:tcW w:w="2880" w:type="dxa"/>
          </w:tcPr>
          <w:p w14:paraId="26A5735C" w14:textId="77777777" w:rsidR="001A4EDA" w:rsidRDefault="00000000">
            <w:r>
              <w:rPr>
                <w:sz w:val="18"/>
              </w:rPr>
              <w:t>EBU Dynamic Media Facility (DMF) &amp; Media eXchange Layer (MXL)</w:t>
            </w:r>
          </w:p>
        </w:tc>
        <w:tc>
          <w:tcPr>
            <w:tcW w:w="4032" w:type="dxa"/>
          </w:tcPr>
          <w:p w14:paraId="3447507D" w14:textId="77777777" w:rsidR="001A4EDA" w:rsidRDefault="00000000">
            <w:r>
              <w:rPr>
                <w:sz w:val="18"/>
              </w:rPr>
              <w:t>Reference architecture for software-defined production. MXL provides virtualized media exchange between containers.</w:t>
            </w:r>
          </w:p>
        </w:tc>
        <w:tc>
          <w:tcPr>
            <w:tcW w:w="5328" w:type="dxa"/>
          </w:tcPr>
          <w:p w14:paraId="2EE78A80" w14:textId="77777777" w:rsidR="001A4EDA" w:rsidRDefault="00000000">
            <w:r>
              <w:rPr>
                <w:sz w:val="18"/>
              </w:rPr>
              <w:t>ADAM’s container-based agent mesh is architecturally aligned with DMF’s virtualized production vision. MXL’s shared-memory media exchange can serve as the transport layer for ADAM’s media-specific agents in virtualized production environments.</w:t>
            </w:r>
          </w:p>
        </w:tc>
      </w:tr>
      <w:tr w:rsidR="001A4EDA" w14:paraId="02128388" w14:textId="77777777">
        <w:trPr>
          <w:jc w:val="center"/>
        </w:trPr>
        <w:tc>
          <w:tcPr>
            <w:tcW w:w="2880" w:type="dxa"/>
            <w:shd w:val="clear" w:color="auto" w:fill="F2F5F8"/>
          </w:tcPr>
          <w:p w14:paraId="7143E128" w14:textId="77777777" w:rsidR="001A4EDA" w:rsidRDefault="00000000">
            <w:r>
              <w:rPr>
                <w:sz w:val="18"/>
              </w:rPr>
              <w:t>EBU AI Ethics Framework</w:t>
            </w:r>
          </w:p>
        </w:tc>
        <w:tc>
          <w:tcPr>
            <w:tcW w:w="4032" w:type="dxa"/>
            <w:shd w:val="clear" w:color="auto" w:fill="F2F5F8"/>
          </w:tcPr>
          <w:p w14:paraId="54219D76" w14:textId="77777777" w:rsidR="001A4EDA" w:rsidRDefault="00000000">
            <w:r>
              <w:rPr>
                <w:sz w:val="18"/>
              </w:rPr>
              <w:t>Principles for responsible AI use in public service media: authorization, attribution, content verification, transparency.</w:t>
            </w:r>
          </w:p>
        </w:tc>
        <w:tc>
          <w:tcPr>
            <w:tcW w:w="5328" w:type="dxa"/>
            <w:shd w:val="clear" w:color="auto" w:fill="F2F5F8"/>
          </w:tcPr>
          <w:p w14:paraId="28A2A14B" w14:textId="77777777" w:rsidR="001A4EDA" w:rsidRDefault="00000000">
            <w:r>
              <w:rPr>
                <w:sz w:val="18"/>
              </w:rPr>
              <w:t>ADAM’s Trust &amp; Editorial Standards Service encodes EBU AI ethics principles as executable policy constraints. AI content labeling, source attribution, and editorial verification are not guidelines in ADAM—they are runtime-enforced policies.</w:t>
            </w:r>
          </w:p>
        </w:tc>
      </w:tr>
      <w:tr w:rsidR="001A4EDA" w14:paraId="336C9A69" w14:textId="77777777">
        <w:trPr>
          <w:jc w:val="center"/>
        </w:trPr>
        <w:tc>
          <w:tcPr>
            <w:tcW w:w="2880" w:type="dxa"/>
          </w:tcPr>
          <w:p w14:paraId="1B4C9E3F" w14:textId="77777777" w:rsidR="001A4EDA" w:rsidRDefault="00000000">
            <w:r>
              <w:rPr>
                <w:sz w:val="18"/>
              </w:rPr>
              <w:t>C2PA (Content Provenance &amp; Authenticity)</w:t>
            </w:r>
          </w:p>
        </w:tc>
        <w:tc>
          <w:tcPr>
            <w:tcW w:w="4032" w:type="dxa"/>
          </w:tcPr>
          <w:p w14:paraId="655FA650" w14:textId="77777777" w:rsidR="001A4EDA" w:rsidRDefault="00000000">
            <w:r>
              <w:rPr>
                <w:sz w:val="18"/>
              </w:rPr>
              <w:t>Open standard for content provenance and authenticity verification.</w:t>
            </w:r>
          </w:p>
        </w:tc>
        <w:tc>
          <w:tcPr>
            <w:tcW w:w="5328" w:type="dxa"/>
          </w:tcPr>
          <w:p w14:paraId="217C2A39" w14:textId="77777777" w:rsidR="001A4EDA" w:rsidRDefault="00000000">
            <w:r>
              <w:rPr>
                <w:sz w:val="18"/>
              </w:rPr>
              <w:t>ADAM integrates C2PA as a content security requirement in the Security &amp; Trust Plane. Every content distribution action requires valid C2PA provenance. Absent provenance triggers BOSS scoring penalties.</w:t>
            </w:r>
          </w:p>
        </w:tc>
      </w:tr>
    </w:tbl>
    <w:p w14:paraId="686C6F7B" w14:textId="77777777" w:rsidR="001A4EDA" w:rsidRDefault="001A4EDA"/>
    <w:p w14:paraId="22FDAA83" w14:textId="77777777" w:rsidR="001A4EDA" w:rsidRDefault="00000000">
      <w:pPr>
        <w:pStyle w:val="Heading2"/>
      </w:pPr>
      <w:bookmarkStart w:id="13" w:name="_Toc227587134"/>
      <w:r>
        <w:t>II.8 Media BOSS Score Customization</w:t>
      </w:r>
      <w:bookmarkEnd w:id="13"/>
    </w:p>
    <w:p w14:paraId="78831B7C" w14:textId="77777777" w:rsidR="001A4EDA" w:rsidRDefault="00000000">
      <w:r>
        <w:t>Media deployments customize ADAM’s BOSS Priority Tier assignments to reflect the industry’s specific risk profile. The Priority Tier system (BOSS) uses human-readable tiers—Top, Very High, High, Medium, Low, Very Low—that translate to fixed numeric weights. Only one dimension may be designated Top. The following configuration is recommended as the starting point for media companies, customizable via the DNA Questionnaire:</w:t>
      </w:r>
    </w:p>
    <w:tbl>
      <w:tblPr>
        <w:tblStyle w:val="TableGrid"/>
        <w:tblW w:w="0" w:type="auto"/>
        <w:jc w:val="center"/>
        <w:tblLook w:val="04A0" w:firstRow="1" w:lastRow="0" w:firstColumn="1" w:lastColumn="0" w:noHBand="0" w:noVBand="1"/>
      </w:tblPr>
      <w:tblGrid>
        <w:gridCol w:w="1563"/>
        <w:gridCol w:w="1340"/>
        <w:gridCol w:w="1698"/>
        <w:gridCol w:w="844"/>
        <w:gridCol w:w="3905"/>
      </w:tblGrid>
      <w:tr w:rsidR="001A4EDA" w14:paraId="5F9C3963" w14:textId="77777777">
        <w:trPr>
          <w:jc w:val="center"/>
        </w:trPr>
        <w:tc>
          <w:tcPr>
            <w:tcW w:w="1872" w:type="dxa"/>
            <w:shd w:val="clear" w:color="auto" w:fill="1F3A5F"/>
          </w:tcPr>
          <w:p w14:paraId="58C25137" w14:textId="77777777" w:rsidR="001A4EDA" w:rsidRDefault="00000000">
            <w:r>
              <w:rPr>
                <w:b/>
                <w:color w:val="FFFFFF"/>
                <w:sz w:val="20"/>
              </w:rPr>
              <w:t>BOSS Dimension</w:t>
            </w:r>
          </w:p>
        </w:tc>
        <w:tc>
          <w:tcPr>
            <w:tcW w:w="1728" w:type="dxa"/>
            <w:shd w:val="clear" w:color="auto" w:fill="1F3A5F"/>
          </w:tcPr>
          <w:p w14:paraId="31B29DD9" w14:textId="77777777" w:rsidR="001A4EDA" w:rsidRDefault="00000000">
            <w:r>
              <w:rPr>
                <w:b/>
                <w:color w:val="FFFFFF"/>
                <w:sz w:val="20"/>
              </w:rPr>
              <w:t>Core ADAM Default</w:t>
            </w:r>
          </w:p>
        </w:tc>
        <w:tc>
          <w:tcPr>
            <w:tcW w:w="1872" w:type="dxa"/>
            <w:shd w:val="clear" w:color="auto" w:fill="1F3A5F"/>
          </w:tcPr>
          <w:p w14:paraId="2C5E52C5" w14:textId="77777777" w:rsidR="001A4EDA" w:rsidRDefault="00000000">
            <w:r>
              <w:rPr>
                <w:b/>
                <w:color w:val="FFFFFF"/>
                <w:sz w:val="20"/>
              </w:rPr>
              <w:t>Media Recommended</w:t>
            </w:r>
          </w:p>
        </w:tc>
        <w:tc>
          <w:tcPr>
            <w:tcW w:w="864" w:type="dxa"/>
            <w:shd w:val="clear" w:color="auto" w:fill="1F3A5F"/>
          </w:tcPr>
          <w:p w14:paraId="399A073D" w14:textId="77777777" w:rsidR="001A4EDA" w:rsidRDefault="00000000">
            <w:r>
              <w:rPr>
                <w:b/>
                <w:color w:val="FFFFFF"/>
                <w:sz w:val="20"/>
              </w:rPr>
              <w:t>Weight</w:t>
            </w:r>
          </w:p>
        </w:tc>
        <w:tc>
          <w:tcPr>
            <w:tcW w:w="5904" w:type="dxa"/>
            <w:shd w:val="clear" w:color="auto" w:fill="1F3A5F"/>
          </w:tcPr>
          <w:p w14:paraId="6514876C" w14:textId="77777777" w:rsidR="001A4EDA" w:rsidRDefault="00000000">
            <w:r>
              <w:rPr>
                <w:b/>
                <w:color w:val="FFFFFF"/>
                <w:sz w:val="20"/>
              </w:rPr>
              <w:t>Media Rationale</w:t>
            </w:r>
          </w:p>
        </w:tc>
      </w:tr>
      <w:tr w:rsidR="001A4EDA" w14:paraId="54C8020F" w14:textId="77777777">
        <w:trPr>
          <w:jc w:val="center"/>
        </w:trPr>
        <w:tc>
          <w:tcPr>
            <w:tcW w:w="1872" w:type="dxa"/>
          </w:tcPr>
          <w:p w14:paraId="07526E2C" w14:textId="77777777" w:rsidR="001A4EDA" w:rsidRDefault="00000000">
            <w:r>
              <w:rPr>
                <w:sz w:val="18"/>
              </w:rPr>
              <w:t>Security Impact</w:t>
            </w:r>
          </w:p>
        </w:tc>
        <w:tc>
          <w:tcPr>
            <w:tcW w:w="1728" w:type="dxa"/>
          </w:tcPr>
          <w:p w14:paraId="00595459" w14:textId="77777777" w:rsidR="001A4EDA" w:rsidRDefault="00000000">
            <w:r>
              <w:rPr>
                <w:sz w:val="18"/>
              </w:rPr>
              <w:t>Top (5.0)</w:t>
            </w:r>
          </w:p>
        </w:tc>
        <w:tc>
          <w:tcPr>
            <w:tcW w:w="1872" w:type="dxa"/>
          </w:tcPr>
          <w:p w14:paraId="7E057CF2" w14:textId="77777777" w:rsidR="001A4EDA" w:rsidRDefault="00000000">
            <w:r>
              <w:rPr>
                <w:sz w:val="18"/>
              </w:rPr>
              <w:t>Top (5.0)</w:t>
            </w:r>
          </w:p>
        </w:tc>
        <w:tc>
          <w:tcPr>
            <w:tcW w:w="864" w:type="dxa"/>
          </w:tcPr>
          <w:p w14:paraId="33974CF9" w14:textId="77777777" w:rsidR="001A4EDA" w:rsidRDefault="00000000">
            <w:r>
              <w:rPr>
                <w:sz w:val="18"/>
              </w:rPr>
              <w:t>5.0</w:t>
            </w:r>
          </w:p>
        </w:tc>
        <w:tc>
          <w:tcPr>
            <w:tcW w:w="5904" w:type="dxa"/>
          </w:tcPr>
          <w:p w14:paraId="4E70B476" w14:textId="77777777" w:rsidR="001A4EDA" w:rsidRDefault="00000000">
            <w:r>
              <w:rPr>
                <w:sz w:val="18"/>
              </w:rPr>
              <w:t>Unchanged. Content protection and infrastructure security remain paramount.</w:t>
            </w:r>
          </w:p>
        </w:tc>
      </w:tr>
      <w:tr w:rsidR="001A4EDA" w14:paraId="1FCF21F2" w14:textId="77777777">
        <w:trPr>
          <w:jc w:val="center"/>
        </w:trPr>
        <w:tc>
          <w:tcPr>
            <w:tcW w:w="1872" w:type="dxa"/>
            <w:shd w:val="clear" w:color="auto" w:fill="F2F5F8"/>
          </w:tcPr>
          <w:p w14:paraId="1803E892" w14:textId="77777777" w:rsidR="001A4EDA" w:rsidRDefault="00000000">
            <w:r>
              <w:rPr>
                <w:sz w:val="18"/>
              </w:rPr>
              <w:t>Reputational Risk</w:t>
            </w:r>
          </w:p>
        </w:tc>
        <w:tc>
          <w:tcPr>
            <w:tcW w:w="1728" w:type="dxa"/>
            <w:shd w:val="clear" w:color="auto" w:fill="F2F5F8"/>
          </w:tcPr>
          <w:p w14:paraId="68FDEAD3" w14:textId="77777777" w:rsidR="001A4EDA" w:rsidRDefault="00000000">
            <w:r>
              <w:rPr>
                <w:sz w:val="18"/>
              </w:rPr>
              <w:t>High (3.0)</w:t>
            </w:r>
          </w:p>
        </w:tc>
        <w:tc>
          <w:tcPr>
            <w:tcW w:w="1872" w:type="dxa"/>
            <w:shd w:val="clear" w:color="auto" w:fill="F2F5F8"/>
          </w:tcPr>
          <w:p w14:paraId="70268CEC" w14:textId="77777777" w:rsidR="001A4EDA" w:rsidRDefault="00000000">
            <w:r>
              <w:rPr>
                <w:sz w:val="18"/>
              </w:rPr>
              <w:t>Very High (4.0)</w:t>
            </w:r>
          </w:p>
        </w:tc>
        <w:tc>
          <w:tcPr>
            <w:tcW w:w="864" w:type="dxa"/>
            <w:shd w:val="clear" w:color="auto" w:fill="F2F5F8"/>
          </w:tcPr>
          <w:p w14:paraId="11F925A2" w14:textId="77777777" w:rsidR="001A4EDA" w:rsidRDefault="00000000">
            <w:r>
              <w:rPr>
                <w:sz w:val="18"/>
              </w:rPr>
              <w:t>4.0</w:t>
            </w:r>
          </w:p>
        </w:tc>
        <w:tc>
          <w:tcPr>
            <w:tcW w:w="5904" w:type="dxa"/>
            <w:shd w:val="clear" w:color="auto" w:fill="F2F5F8"/>
          </w:tcPr>
          <w:p w14:paraId="1E2580E9" w14:textId="77777777" w:rsidR="001A4EDA" w:rsidRDefault="00000000">
            <w:r>
              <w:rPr>
                <w:sz w:val="18"/>
              </w:rPr>
              <w:t xml:space="preserve">Elevated. Media errors are public, permanent, and audience-amplified. A single content </w:t>
            </w:r>
            <w:r>
              <w:rPr>
                <w:sz w:val="18"/>
              </w:rPr>
              <w:lastRenderedPageBreak/>
              <w:t>misattribution or brand safety failure can destroy years of trust.</w:t>
            </w:r>
          </w:p>
        </w:tc>
      </w:tr>
      <w:tr w:rsidR="001A4EDA" w14:paraId="6EC37139" w14:textId="77777777">
        <w:trPr>
          <w:jc w:val="center"/>
        </w:trPr>
        <w:tc>
          <w:tcPr>
            <w:tcW w:w="1872" w:type="dxa"/>
          </w:tcPr>
          <w:p w14:paraId="6855F656" w14:textId="77777777" w:rsidR="001A4EDA" w:rsidRDefault="00000000">
            <w:r>
              <w:rPr>
                <w:sz w:val="18"/>
              </w:rPr>
              <w:lastRenderedPageBreak/>
              <w:t>Rights Certainty</w:t>
            </w:r>
          </w:p>
        </w:tc>
        <w:tc>
          <w:tcPr>
            <w:tcW w:w="1728" w:type="dxa"/>
          </w:tcPr>
          <w:p w14:paraId="44D82EA3" w14:textId="77777777" w:rsidR="001A4EDA" w:rsidRDefault="00000000">
            <w:r>
              <w:rPr>
                <w:sz w:val="18"/>
              </w:rPr>
              <w:t>High (3.0)</w:t>
            </w:r>
          </w:p>
        </w:tc>
        <w:tc>
          <w:tcPr>
            <w:tcW w:w="1872" w:type="dxa"/>
          </w:tcPr>
          <w:p w14:paraId="3482048C" w14:textId="77777777" w:rsidR="001A4EDA" w:rsidRDefault="00000000">
            <w:r>
              <w:rPr>
                <w:sz w:val="18"/>
              </w:rPr>
              <w:t>Very High (4.0)</w:t>
            </w:r>
          </w:p>
        </w:tc>
        <w:tc>
          <w:tcPr>
            <w:tcW w:w="864" w:type="dxa"/>
          </w:tcPr>
          <w:p w14:paraId="7AF546D2" w14:textId="77777777" w:rsidR="001A4EDA" w:rsidRDefault="00000000">
            <w:r>
              <w:rPr>
                <w:sz w:val="18"/>
              </w:rPr>
              <w:t>4.0</w:t>
            </w:r>
          </w:p>
        </w:tc>
        <w:tc>
          <w:tcPr>
            <w:tcW w:w="5904" w:type="dxa"/>
          </w:tcPr>
          <w:p w14:paraId="2EAAEFEF" w14:textId="77777777" w:rsidR="001A4EDA" w:rsidRDefault="00000000">
            <w:r>
              <w:rPr>
                <w:sz w:val="18"/>
              </w:rPr>
              <w:t>Elevated. Rights violations create immediate legal liability and partner relationship damage. Media companies live and die on rights accuracy.</w:t>
            </w:r>
          </w:p>
        </w:tc>
      </w:tr>
      <w:tr w:rsidR="001A4EDA" w14:paraId="44E1D435" w14:textId="77777777">
        <w:trPr>
          <w:jc w:val="center"/>
        </w:trPr>
        <w:tc>
          <w:tcPr>
            <w:tcW w:w="1872" w:type="dxa"/>
            <w:shd w:val="clear" w:color="auto" w:fill="F2F5F8"/>
          </w:tcPr>
          <w:p w14:paraId="5ADB89E5" w14:textId="77777777" w:rsidR="001A4EDA" w:rsidRDefault="00000000">
            <w:r>
              <w:rPr>
                <w:sz w:val="18"/>
              </w:rPr>
              <w:t>Financial Exposure</w:t>
            </w:r>
          </w:p>
        </w:tc>
        <w:tc>
          <w:tcPr>
            <w:tcW w:w="1728" w:type="dxa"/>
            <w:shd w:val="clear" w:color="auto" w:fill="F2F5F8"/>
          </w:tcPr>
          <w:p w14:paraId="33460F80" w14:textId="77777777" w:rsidR="001A4EDA" w:rsidRDefault="00000000">
            <w:r>
              <w:rPr>
                <w:sz w:val="18"/>
              </w:rPr>
              <w:t>Very High (4.0)</w:t>
            </w:r>
          </w:p>
        </w:tc>
        <w:tc>
          <w:tcPr>
            <w:tcW w:w="1872" w:type="dxa"/>
            <w:shd w:val="clear" w:color="auto" w:fill="F2F5F8"/>
          </w:tcPr>
          <w:p w14:paraId="21CD7E43" w14:textId="77777777" w:rsidR="001A4EDA" w:rsidRDefault="00000000">
            <w:r>
              <w:rPr>
                <w:sz w:val="18"/>
              </w:rPr>
              <w:t>High (3.0)</w:t>
            </w:r>
          </w:p>
        </w:tc>
        <w:tc>
          <w:tcPr>
            <w:tcW w:w="864" w:type="dxa"/>
            <w:shd w:val="clear" w:color="auto" w:fill="F2F5F8"/>
          </w:tcPr>
          <w:p w14:paraId="6371A53B" w14:textId="77777777" w:rsidR="001A4EDA" w:rsidRDefault="00000000">
            <w:r>
              <w:rPr>
                <w:sz w:val="18"/>
              </w:rPr>
              <w:t>3.0</w:t>
            </w:r>
          </w:p>
        </w:tc>
        <w:tc>
          <w:tcPr>
            <w:tcW w:w="5904" w:type="dxa"/>
            <w:shd w:val="clear" w:color="auto" w:fill="F2F5F8"/>
          </w:tcPr>
          <w:p w14:paraId="19DCC0EC" w14:textId="77777777" w:rsidR="001A4EDA" w:rsidRDefault="00000000">
            <w:r>
              <w:rPr>
                <w:sz w:val="18"/>
              </w:rPr>
              <w:t>Reduced one tier. Financial risk in media is real but generally bounded by contract terms. Reputational and rights risks have more catastrophic tail outcomes.</w:t>
            </w:r>
          </w:p>
        </w:tc>
      </w:tr>
      <w:tr w:rsidR="001A4EDA" w14:paraId="579AD4FE" w14:textId="77777777">
        <w:trPr>
          <w:jc w:val="center"/>
        </w:trPr>
        <w:tc>
          <w:tcPr>
            <w:tcW w:w="1872" w:type="dxa"/>
          </w:tcPr>
          <w:p w14:paraId="2696D11E" w14:textId="77777777" w:rsidR="001A4EDA" w:rsidRDefault="00000000">
            <w:r>
              <w:rPr>
                <w:sz w:val="18"/>
              </w:rPr>
              <w:t>Regulatory Impact</w:t>
            </w:r>
          </w:p>
        </w:tc>
        <w:tc>
          <w:tcPr>
            <w:tcW w:w="1728" w:type="dxa"/>
          </w:tcPr>
          <w:p w14:paraId="02E139E7" w14:textId="77777777" w:rsidR="001A4EDA" w:rsidRDefault="00000000">
            <w:r>
              <w:rPr>
                <w:sz w:val="18"/>
              </w:rPr>
              <w:t>High (3.0)</w:t>
            </w:r>
          </w:p>
        </w:tc>
        <w:tc>
          <w:tcPr>
            <w:tcW w:w="1872" w:type="dxa"/>
          </w:tcPr>
          <w:p w14:paraId="157709C5" w14:textId="77777777" w:rsidR="001A4EDA" w:rsidRDefault="00000000">
            <w:r>
              <w:rPr>
                <w:sz w:val="18"/>
              </w:rPr>
              <w:t>High (3.0)</w:t>
            </w:r>
          </w:p>
        </w:tc>
        <w:tc>
          <w:tcPr>
            <w:tcW w:w="864" w:type="dxa"/>
          </w:tcPr>
          <w:p w14:paraId="12BE7C8D" w14:textId="77777777" w:rsidR="001A4EDA" w:rsidRDefault="00000000">
            <w:r>
              <w:rPr>
                <w:sz w:val="18"/>
              </w:rPr>
              <w:t>3.0</w:t>
            </w:r>
          </w:p>
        </w:tc>
        <w:tc>
          <w:tcPr>
            <w:tcW w:w="5904" w:type="dxa"/>
          </w:tcPr>
          <w:p w14:paraId="30BCD742" w14:textId="77777777" w:rsidR="001A4EDA" w:rsidRDefault="00000000">
            <w:r>
              <w:rPr>
                <w:sz w:val="18"/>
              </w:rPr>
              <w:t>Unchanged. Regulatory compliance (AVMSD, GDPR, AI Act) remains material.</w:t>
            </w:r>
          </w:p>
        </w:tc>
      </w:tr>
      <w:tr w:rsidR="001A4EDA" w14:paraId="358EBCC8" w14:textId="77777777">
        <w:trPr>
          <w:jc w:val="center"/>
        </w:trPr>
        <w:tc>
          <w:tcPr>
            <w:tcW w:w="1872" w:type="dxa"/>
            <w:shd w:val="clear" w:color="auto" w:fill="F2F5F8"/>
          </w:tcPr>
          <w:p w14:paraId="69EA0231" w14:textId="77777777" w:rsidR="001A4EDA" w:rsidRDefault="00000000">
            <w:r>
              <w:rPr>
                <w:sz w:val="18"/>
              </w:rPr>
              <w:t>Sovereignty Action</w:t>
            </w:r>
          </w:p>
        </w:tc>
        <w:tc>
          <w:tcPr>
            <w:tcW w:w="1728" w:type="dxa"/>
            <w:shd w:val="clear" w:color="auto" w:fill="F2F5F8"/>
          </w:tcPr>
          <w:p w14:paraId="5162FD8C" w14:textId="77777777" w:rsidR="001A4EDA" w:rsidRDefault="00000000">
            <w:r>
              <w:rPr>
                <w:sz w:val="18"/>
              </w:rPr>
              <w:t>Very High (4.0)</w:t>
            </w:r>
          </w:p>
        </w:tc>
        <w:tc>
          <w:tcPr>
            <w:tcW w:w="1872" w:type="dxa"/>
            <w:shd w:val="clear" w:color="auto" w:fill="F2F5F8"/>
          </w:tcPr>
          <w:p w14:paraId="5DA5C557" w14:textId="77777777" w:rsidR="001A4EDA" w:rsidRDefault="00000000">
            <w:r>
              <w:rPr>
                <w:sz w:val="18"/>
              </w:rPr>
              <w:t>High (3.0)</w:t>
            </w:r>
          </w:p>
        </w:tc>
        <w:tc>
          <w:tcPr>
            <w:tcW w:w="864" w:type="dxa"/>
            <w:shd w:val="clear" w:color="auto" w:fill="F2F5F8"/>
          </w:tcPr>
          <w:p w14:paraId="3B908082" w14:textId="77777777" w:rsidR="001A4EDA" w:rsidRDefault="00000000">
            <w:r>
              <w:rPr>
                <w:sz w:val="18"/>
              </w:rPr>
              <w:t>3.0</w:t>
            </w:r>
          </w:p>
        </w:tc>
        <w:tc>
          <w:tcPr>
            <w:tcW w:w="5904" w:type="dxa"/>
            <w:shd w:val="clear" w:color="auto" w:fill="F2F5F8"/>
          </w:tcPr>
          <w:p w14:paraId="319ED644" w14:textId="77777777" w:rsidR="001A4EDA" w:rsidRDefault="00000000">
            <w:r>
              <w:rPr>
                <w:sz w:val="18"/>
              </w:rPr>
              <w:t>Reduced one tier for most media companies. Sovereignty is important but less existentially critical than in financial services or government.</w:t>
            </w:r>
          </w:p>
        </w:tc>
      </w:tr>
      <w:tr w:rsidR="001A4EDA" w14:paraId="65A52DDD" w14:textId="77777777">
        <w:trPr>
          <w:jc w:val="center"/>
        </w:trPr>
        <w:tc>
          <w:tcPr>
            <w:tcW w:w="1872" w:type="dxa"/>
          </w:tcPr>
          <w:p w14:paraId="3FED0279" w14:textId="77777777" w:rsidR="001A4EDA" w:rsidRDefault="00000000">
            <w:r>
              <w:rPr>
                <w:sz w:val="18"/>
              </w:rPr>
              <w:t>Doctrinal Alignment</w:t>
            </w:r>
          </w:p>
        </w:tc>
        <w:tc>
          <w:tcPr>
            <w:tcW w:w="1728" w:type="dxa"/>
          </w:tcPr>
          <w:p w14:paraId="0284B02E" w14:textId="77777777" w:rsidR="001A4EDA" w:rsidRDefault="00000000">
            <w:r>
              <w:rPr>
                <w:sz w:val="18"/>
              </w:rPr>
              <w:t>Medium (2.0)</w:t>
            </w:r>
          </w:p>
        </w:tc>
        <w:tc>
          <w:tcPr>
            <w:tcW w:w="1872" w:type="dxa"/>
          </w:tcPr>
          <w:p w14:paraId="37678E7B" w14:textId="77777777" w:rsidR="001A4EDA" w:rsidRDefault="00000000">
            <w:r>
              <w:rPr>
                <w:sz w:val="18"/>
              </w:rPr>
              <w:t>Medium (2.0)</w:t>
            </w:r>
          </w:p>
        </w:tc>
        <w:tc>
          <w:tcPr>
            <w:tcW w:w="864" w:type="dxa"/>
          </w:tcPr>
          <w:p w14:paraId="1AD1E040" w14:textId="77777777" w:rsidR="001A4EDA" w:rsidRDefault="00000000">
            <w:r>
              <w:rPr>
                <w:sz w:val="18"/>
              </w:rPr>
              <w:t>2.0</w:t>
            </w:r>
          </w:p>
        </w:tc>
        <w:tc>
          <w:tcPr>
            <w:tcW w:w="5904" w:type="dxa"/>
          </w:tcPr>
          <w:p w14:paraId="0094C062" w14:textId="77777777" w:rsidR="001A4EDA" w:rsidRDefault="00000000">
            <w:r>
              <w:rPr>
                <w:sz w:val="18"/>
              </w:rPr>
              <w:t>Unchanged. Internal alignment matters but rarely triggers external consequences.</w:t>
            </w:r>
          </w:p>
        </w:tc>
      </w:tr>
    </w:tbl>
    <w:p w14:paraId="0CDD7552" w14:textId="77777777" w:rsidR="001A4EDA" w:rsidRDefault="001A4EDA"/>
    <w:p w14:paraId="26EA774C" w14:textId="77777777" w:rsidR="001A4EDA" w:rsidRDefault="00000000">
      <w:r>
        <w:t xml:space="preserve">The media configuration produces a total weight of 24.0 (identical to the ADAM default), meaning the composite formula denominator does not change. However, the contribution percentages shift: Reputational Risk and Rights Certainty each contribute 16.67% (up from 12.50%), while Financial Exposure and Sovereignty Action each contribute 12.50% (down from 16.67%). This rebalancing reflects the media industry’s operational reality: a rights violation or trust failure is more damaging than a financial overspend </w:t>
      </w:r>
      <w:r>
        <w:t>or sovereignty concern.</w:t>
      </w:r>
    </w:p>
    <w:p w14:paraId="0BEF7468" w14:textId="77777777" w:rsidR="001A4EDA" w:rsidRDefault="00000000">
      <w:r>
        <w:t>The SOAP-to-OHSHAT escalation tiers remain unchanged: SOAP (0–10), MODERATE (11–30), ELEVATED (31–50), HIGH (51–75), OHSHAT (76–100). The Critical Dimension Override (any single dimension &gt; 75 forces composite upward) and Non-Idempotent Penalty (+15) apply identically to media agents.</w:t>
      </w:r>
    </w:p>
    <w:tbl>
      <w:tblPr>
        <w:tblW w:w="0" w:type="auto"/>
        <w:jc w:val="center"/>
        <w:tblLook w:val="04A0" w:firstRow="1" w:lastRow="0" w:firstColumn="1" w:lastColumn="0" w:noHBand="0" w:noVBand="1"/>
      </w:tblPr>
      <w:tblGrid>
        <w:gridCol w:w="9360"/>
      </w:tblGrid>
      <w:tr w:rsidR="001A4EDA" w14:paraId="0061386B" w14:textId="77777777">
        <w:trPr>
          <w:jc w:val="center"/>
        </w:trPr>
        <w:tc>
          <w:tcPr>
            <w:tcW w:w="9360" w:type="dxa"/>
            <w:shd w:val="clear" w:color="auto" w:fill="E8EDF2"/>
          </w:tcPr>
          <w:p w14:paraId="7C516C6E" w14:textId="77777777" w:rsidR="001A4EDA" w:rsidRDefault="00000000">
            <w:r>
              <w:rPr>
                <w:b/>
                <w:color w:val="1F3A5F"/>
              </w:rPr>
              <w:t>SIDEBAR: Media Section Final Thoughts</w:t>
            </w:r>
          </w:p>
          <w:p w14:paraId="5AB9B012" w14:textId="77777777" w:rsidR="001A4EDA" w:rsidRDefault="00000000">
            <w:r>
              <w:rPr>
                <w:sz w:val="20"/>
              </w:rPr>
              <w:t>The media industry does not need more automation. It needs governed automation—systems that can act at the speed of live production, the scale of global distribution, and the precision of territorial rights management, all while proving to regulators, rights holders, and audiences that every action was authorized, scored, and evidenced.</w:t>
            </w:r>
          </w:p>
          <w:p w14:paraId="20A482F9" w14:textId="77777777" w:rsidR="001A4EDA" w:rsidRDefault="00000000">
            <w:r>
              <w:rPr>
                <w:sz w:val="20"/>
              </w:rPr>
              <w:t>ADAM provides that governance. The eight media agents, seven foundational services, and TM Forum conformance layer defined in this section are the deployment-grade specification for making it real.</w:t>
            </w:r>
          </w:p>
          <w:p w14:paraId="62415B87" w14:textId="77777777" w:rsidR="001A4EDA" w:rsidRDefault="00000000">
            <w:r>
              <w:rPr>
                <w:sz w:val="20"/>
              </w:rPr>
              <w:t>The 5-Director Constitution—CEO, CFO, Legal Director, Market Director, CISO—provides the human accountability that autonomous media operations require. Directors do not manage workflows. They define intent, approve exceptions, and accept accountability for outcomes. Everything else is doctrine.</w:t>
            </w:r>
          </w:p>
        </w:tc>
      </w:tr>
    </w:tbl>
    <w:p w14:paraId="2CBE0357" w14:textId="77777777" w:rsidR="001A4EDA" w:rsidRDefault="001A4EDA"/>
    <w:p w14:paraId="1092E95E" w14:textId="77777777" w:rsidR="001A4EDA" w:rsidRDefault="00000000">
      <w:r>
        <w:br w:type="page"/>
      </w:r>
    </w:p>
    <w:p w14:paraId="6F0F64F5" w14:textId="77777777" w:rsidR="001A4EDA" w:rsidRDefault="00000000">
      <w:pPr>
        <w:pStyle w:val="Heading1"/>
      </w:pPr>
      <w:bookmarkStart w:id="14" w:name="_Toc227587135"/>
      <w:r>
        <w:lastRenderedPageBreak/>
        <w:t>Part III — Healthcare &amp; Life Sciences</w:t>
      </w:r>
      <w:bookmarkEnd w:id="14"/>
    </w:p>
    <w:p w14:paraId="3CA0F27B" w14:textId="77777777" w:rsidR="001A4EDA" w:rsidRDefault="00000000">
      <w:pPr>
        <w:pStyle w:val="Heading2"/>
      </w:pPr>
      <w:bookmarkStart w:id="15" w:name="_Toc227587136"/>
      <w:r>
        <w:t>III.1 Industry Context: Why ADAM for Healthcare</w:t>
      </w:r>
      <w:bookmarkEnd w:id="15"/>
    </w:p>
    <w:p w14:paraId="05832CAF" w14:textId="193F0CD2" w:rsidR="001A4EDA" w:rsidRDefault="00000000">
      <w:r>
        <w:rPr>
          <w:b/>
          <w:sz w:val="24"/>
        </w:rPr>
        <w:t>In healthcare, the cost of autonomous failure is a</w:t>
      </w:r>
      <w:r w:rsidR="00642A4B">
        <w:rPr>
          <w:b/>
          <w:sz w:val="24"/>
        </w:rPr>
        <w:t xml:space="preserve"> human</w:t>
      </w:r>
      <w:r>
        <w:rPr>
          <w:b/>
          <w:sz w:val="24"/>
        </w:rPr>
        <w:t xml:space="preserve"> life.</w:t>
      </w:r>
    </w:p>
    <w:p w14:paraId="1455DA71" w14:textId="77777777" w:rsidR="001A4EDA" w:rsidRDefault="00000000">
      <w:r>
        <w:t>Healthcare and life sciences represent the highest-consequence environment for autonomous systems. Every dimension of ADAM’s governance model—policy enforcement, evidence capture, authorization verification, exception handling—operates at its most critical here because the stakes are categorically different: patient safety, clinical accuracy, regulatory compliance that carries criminal penalties, data privacy requirements backed by federal enforcement, and operational decisions that directly affect human he</w:t>
      </w:r>
      <w:r>
        <w:t>alth outcomes.</w:t>
      </w:r>
    </w:p>
    <w:p w14:paraId="3CA9E29D" w14:textId="77777777" w:rsidR="001A4EDA" w:rsidRDefault="00000000">
      <w:r>
        <w:t>The regulatory landscape is uniquely demanding. HIPAA’s 2026 Security Rule update eliminates the distinction between “addressable” and “required” safeguards—encryption, MFA, and network segmentation are now mandatory, not optional. The FDA’s AI/ML Software as Medical Device (SaMD) guidance requires Total Product Lifecycle management with Predetermined Change Control Plans for any post-market AI model updates. The EU AI Act classifies medical device AI systems as high-risk with full compliance required by Au</w:t>
      </w:r>
      <w:r>
        <w:t>gust 2026. China’s PIPL classifies medical health data as sensitive personal information requiring separate explicit consent for every processing purpose. And 21 CFR Part 11 requires tamper-evident audit trails for all electronic records and signatures in FDA-regulated environments—a requirement that ADAM’s Flight Recorder satisfies by construction.</w:t>
      </w:r>
    </w:p>
    <w:p w14:paraId="5C677866" w14:textId="77777777" w:rsidR="001A4EDA" w:rsidRDefault="00000000">
      <w:r>
        <w:t>ADAM’s value in healthcare is not automation for speed. It is automation with proof. Every clinical decision support recommendation, every patient data access, every regulatory submission, every financial transaction is policy-bounded, BOSS-scored, Cryptographic Authorization Vault-authorized, and Flight Recorder-evidenced. In an industry where “we believe it was correct” is never an acceptable answer, ADAM provides the structural certainty that autonomous operations demand.</w:t>
      </w:r>
    </w:p>
    <w:p w14:paraId="0882D951" w14:textId="77777777" w:rsidR="001A4EDA" w:rsidRDefault="00000000">
      <w:r>
        <w:t>The 5-Director Constitution maps naturally to healthcare governance. The CEO retains overall accountability for autonomous outcomes. The CFO governs financial autonomy thresholds across clinical operations, research funding, and insurance settlements. The Legal Director oversees regulatory interpretations, HIPAA compliance, and FDA submission authorization. The Market Director governs patient experience, provider relationships, and healthcare ecosystem partnerships. The CISO bears particular weight in healt</w:t>
      </w:r>
      <w:r>
        <w:t>hcare—patient data protection is not just a security function but a clinical safety function, since compromised patient data can lead to incorrect treatment decisions.</w:t>
      </w:r>
    </w:p>
    <w:tbl>
      <w:tblPr>
        <w:tblW w:w="0" w:type="auto"/>
        <w:jc w:val="center"/>
        <w:tblLook w:val="04A0" w:firstRow="1" w:lastRow="0" w:firstColumn="1" w:lastColumn="0" w:noHBand="0" w:noVBand="1"/>
      </w:tblPr>
      <w:tblGrid>
        <w:gridCol w:w="9360"/>
      </w:tblGrid>
      <w:tr w:rsidR="001A4EDA" w14:paraId="3E774306" w14:textId="77777777">
        <w:trPr>
          <w:jc w:val="center"/>
        </w:trPr>
        <w:tc>
          <w:tcPr>
            <w:tcW w:w="9360" w:type="dxa"/>
            <w:shd w:val="clear" w:color="auto" w:fill="FFF3E0"/>
          </w:tcPr>
          <w:p w14:paraId="1ED7C05C" w14:textId="77777777" w:rsidR="001A4EDA" w:rsidRDefault="00000000">
            <w:r>
              <w:rPr>
                <w:b/>
                <w:color w:val="8B5E00"/>
              </w:rPr>
              <w:t>SCENARIO: NetHealthX — The Problem ADAM Solves</w:t>
            </w:r>
          </w:p>
          <w:p w14:paraId="55FB4B48" w14:textId="77777777" w:rsidR="001A4EDA" w:rsidRDefault="00000000">
            <w:r>
              <w:rPr>
                <w:sz w:val="20"/>
              </w:rPr>
              <w:t>NetHealthX is a mid-size US healthcare system operating 6 hospitals and 42 outpatient clinics across three states. They have deployed AI-assisted clinical decision support for drug interaction checking, diagnostic imaging analysis, and sepsis early warning.</w:t>
            </w:r>
          </w:p>
          <w:p w14:paraId="2483FC66" w14:textId="77777777" w:rsidR="001A4EDA" w:rsidRDefault="00000000">
            <w:r>
              <w:rPr>
                <w:sz w:val="20"/>
              </w:rPr>
              <w:lastRenderedPageBreak/>
              <w:t>On a Thursday afternoon, the FDA issues a safety communication about a newly identified drug interaction between two commonly prescribed medications. NetHealthX’s clinical decision support system needs to update its interaction database, but the update process requires manual review by the pharmacy informatics team—who are a two-person team covering all six hospitals. The update takes 72 hours to propagate. During those 72 hours, 14 patients across three facilities are prescribed the flagged combination wit</w:t>
            </w:r>
            <w:r>
              <w:rPr>
                <w:sz w:val="20"/>
              </w:rPr>
              <w:t>hout any system alert.</w:t>
            </w:r>
          </w:p>
          <w:p w14:paraId="76769677" w14:textId="77777777" w:rsidR="001A4EDA" w:rsidRDefault="00000000">
            <w:r>
              <w:rPr>
                <w:sz w:val="20"/>
              </w:rPr>
              <w:t>With ADAM: The Clinical Decision Support Governor receives the FDA safety communication through automated regulatory feed monitoring. BOSS Regulatory Impact scores the interaction update at 68 (HIGH tier). The exception packet routes to the Legal Director with full clinical impact analysis. The director authorizes emergency database update. The Cryptographic Authorization Vault records the authorization. The Flight Recorder captures the evidence chain: FDA communication receipt timestamp, BOSS score calcula</w:t>
            </w:r>
            <w:r>
              <w:rPr>
                <w:sz w:val="20"/>
              </w:rPr>
              <w:t xml:space="preserve">tion, director authorization, database update confirmation, and verification that all 6 hospitals and 42 clinics reflect the updated interaction data within 47 minutes. </w:t>
            </w:r>
            <w:r w:rsidRPr="002B424E">
              <w:rPr>
                <w:b/>
                <w:bCs/>
                <w:sz w:val="20"/>
              </w:rPr>
              <w:t>The 14 patients are never at risk. The 72-hour gap never exists.</w:t>
            </w:r>
          </w:p>
        </w:tc>
      </w:tr>
    </w:tbl>
    <w:p w14:paraId="00531753" w14:textId="77777777" w:rsidR="001A4EDA" w:rsidRDefault="001A4EDA"/>
    <w:p w14:paraId="0EB26BF9" w14:textId="77777777" w:rsidR="001A4EDA" w:rsidRDefault="00000000">
      <w:pPr>
        <w:pStyle w:val="Heading2"/>
      </w:pPr>
      <w:bookmarkStart w:id="16" w:name="_Toc227587137"/>
      <w:r>
        <w:t>III.2 Healthcare Industry Agent Inventory</w:t>
      </w:r>
      <w:bookmarkEnd w:id="16"/>
    </w:p>
    <w:p w14:paraId="6DE4F85C" w14:textId="77777777" w:rsidR="001A4EDA" w:rsidRDefault="00000000">
      <w:r>
        <w:rPr>
          <w:b/>
          <w:sz w:val="24"/>
        </w:rPr>
        <w:t>Clinical precision is not optional. It is the minimum standard for operating.</w:t>
      </w:r>
    </w:p>
    <w:p w14:paraId="0418E5E1" w14:textId="77777777" w:rsidR="001A4EDA" w:rsidRDefault="00000000">
      <w:r>
        <w:t>The following agents extend ADAM’s 81-agent mesh for healthcare-specific operations. Each agent operates within ADAM’s standard governance model with healthcare-specific calibration: BOSS scoring operates at maximum sensitivity for clinical actions, the Cryptographic Authorization Vault enforces patient consent at every data access point, and the Flight Recorder captures the evidence required by HIPAA, FDA, and international regulatory bodies.</w:t>
      </w:r>
    </w:p>
    <w:p w14:paraId="4A37A98D" w14:textId="77777777" w:rsidR="001A4EDA" w:rsidRDefault="00000000">
      <w:r>
        <w:t>Healthcare agents carry additional constraints that general ADAM agents do not: the Non-Idempotent Penalty (+15) applies to all clinical actions by default, because clinical decisions affect individual patient outcomes that cannot be reversed by “retrying.” A wrong medication dose, once administered, cannot be un-administered. ADAM’s governance model treats this asymmetry with the weight it deserves.</w:t>
      </w:r>
    </w:p>
    <w:tbl>
      <w:tblPr>
        <w:tblStyle w:val="TableGrid"/>
        <w:tblW w:w="0" w:type="auto"/>
        <w:jc w:val="center"/>
        <w:tblLook w:val="04A0" w:firstRow="1" w:lastRow="0" w:firstColumn="1" w:lastColumn="0" w:noHBand="0" w:noVBand="1"/>
      </w:tblPr>
      <w:tblGrid>
        <w:gridCol w:w="1595"/>
        <w:gridCol w:w="1662"/>
        <w:gridCol w:w="1498"/>
        <w:gridCol w:w="1506"/>
        <w:gridCol w:w="1633"/>
        <w:gridCol w:w="1456"/>
      </w:tblGrid>
      <w:tr w:rsidR="001A4EDA" w14:paraId="3BB99361" w14:textId="77777777">
        <w:trPr>
          <w:jc w:val="center"/>
        </w:trPr>
        <w:tc>
          <w:tcPr>
            <w:tcW w:w="1872" w:type="dxa"/>
            <w:shd w:val="clear" w:color="auto" w:fill="1F3A5F"/>
          </w:tcPr>
          <w:p w14:paraId="547064A2" w14:textId="77777777" w:rsidR="001A4EDA" w:rsidRDefault="00000000">
            <w:r>
              <w:rPr>
                <w:b/>
                <w:color w:val="FFFFFF"/>
                <w:sz w:val="20"/>
              </w:rPr>
              <w:t>Agent Name</w:t>
            </w:r>
          </w:p>
        </w:tc>
        <w:tc>
          <w:tcPr>
            <w:tcW w:w="1152" w:type="dxa"/>
            <w:shd w:val="clear" w:color="auto" w:fill="1F3A5F"/>
          </w:tcPr>
          <w:p w14:paraId="76D16F98" w14:textId="77777777" w:rsidR="001A4EDA" w:rsidRDefault="00000000">
            <w:r>
              <w:rPr>
                <w:b/>
                <w:color w:val="FFFFFF"/>
                <w:sz w:val="20"/>
              </w:rPr>
              <w:t>Layer</w:t>
            </w:r>
          </w:p>
        </w:tc>
        <w:tc>
          <w:tcPr>
            <w:tcW w:w="2304" w:type="dxa"/>
            <w:shd w:val="clear" w:color="auto" w:fill="1F3A5F"/>
          </w:tcPr>
          <w:p w14:paraId="5BB304C4" w14:textId="77777777" w:rsidR="001A4EDA" w:rsidRDefault="00000000">
            <w:r>
              <w:rPr>
                <w:b/>
                <w:color w:val="FFFFFF"/>
                <w:sz w:val="20"/>
              </w:rPr>
              <w:t>Function</w:t>
            </w:r>
          </w:p>
        </w:tc>
        <w:tc>
          <w:tcPr>
            <w:tcW w:w="2160" w:type="dxa"/>
            <w:shd w:val="clear" w:color="auto" w:fill="1F3A5F"/>
          </w:tcPr>
          <w:p w14:paraId="7DCAB86E" w14:textId="77777777" w:rsidR="001A4EDA" w:rsidRDefault="00000000">
            <w:r>
              <w:rPr>
                <w:b/>
                <w:color w:val="FFFFFF"/>
                <w:sz w:val="20"/>
              </w:rPr>
              <w:t>Business Value</w:t>
            </w:r>
          </w:p>
        </w:tc>
        <w:tc>
          <w:tcPr>
            <w:tcW w:w="2160" w:type="dxa"/>
            <w:shd w:val="clear" w:color="auto" w:fill="1F3A5F"/>
          </w:tcPr>
          <w:p w14:paraId="65123D02" w14:textId="77777777" w:rsidR="001A4EDA" w:rsidRDefault="00000000">
            <w:r>
              <w:rPr>
                <w:b/>
                <w:color w:val="FFFFFF"/>
                <w:sz w:val="20"/>
              </w:rPr>
              <w:t>Technical Value</w:t>
            </w:r>
          </w:p>
        </w:tc>
        <w:tc>
          <w:tcPr>
            <w:tcW w:w="2592" w:type="dxa"/>
            <w:shd w:val="clear" w:color="auto" w:fill="1F3A5F"/>
          </w:tcPr>
          <w:p w14:paraId="07BB690C" w14:textId="77777777" w:rsidR="001A4EDA" w:rsidRDefault="00000000">
            <w:r>
              <w:rPr>
                <w:b/>
                <w:color w:val="FFFFFF"/>
                <w:sz w:val="20"/>
              </w:rPr>
              <w:t>ADAM Value</w:t>
            </w:r>
          </w:p>
        </w:tc>
      </w:tr>
      <w:tr w:rsidR="001A4EDA" w14:paraId="46512DCF" w14:textId="77777777">
        <w:trPr>
          <w:jc w:val="center"/>
        </w:trPr>
        <w:tc>
          <w:tcPr>
            <w:tcW w:w="1872" w:type="dxa"/>
          </w:tcPr>
          <w:p w14:paraId="5957B58C" w14:textId="77777777" w:rsidR="001A4EDA" w:rsidRDefault="00000000">
            <w:r>
              <w:rPr>
                <w:sz w:val="18"/>
              </w:rPr>
              <w:t>Clinical Decision Support</w:t>
            </w:r>
            <w:r>
              <w:rPr>
                <w:sz w:val="18"/>
              </w:rPr>
              <w:br/>
              <w:t>Governor</w:t>
            </w:r>
          </w:p>
        </w:tc>
        <w:tc>
          <w:tcPr>
            <w:tcW w:w="1152" w:type="dxa"/>
          </w:tcPr>
          <w:p w14:paraId="14DC9660" w14:textId="77777777" w:rsidR="001A4EDA" w:rsidRDefault="00000000">
            <w:r>
              <w:rPr>
                <w:sz w:val="18"/>
              </w:rPr>
              <w:t>Governor Agent</w:t>
            </w:r>
            <w:r>
              <w:rPr>
                <w:sz w:val="18"/>
              </w:rPr>
              <w:br/>
              <w:t>(Clinical Domain)</w:t>
            </w:r>
          </w:p>
        </w:tc>
        <w:tc>
          <w:tcPr>
            <w:tcW w:w="2304" w:type="dxa"/>
          </w:tcPr>
          <w:p w14:paraId="6D81A488" w14:textId="77777777" w:rsidR="001A4EDA" w:rsidRDefault="00000000">
            <w:r>
              <w:rPr>
                <w:sz w:val="18"/>
              </w:rPr>
              <w:t>Governs AI-assisted clinical decision support: drug interaction checking, diagnostic assistance, treatment protocol recommendations. All outputs are advisory—never autonomous execution of clinical decisions without physician authorization.</w:t>
            </w:r>
          </w:p>
        </w:tc>
        <w:tc>
          <w:tcPr>
            <w:tcW w:w="2160" w:type="dxa"/>
          </w:tcPr>
          <w:p w14:paraId="2191F66F" w14:textId="77777777" w:rsidR="001A4EDA" w:rsidRDefault="00000000">
            <w:r>
              <w:rPr>
                <w:sz w:val="18"/>
              </w:rPr>
              <w:t>Reduces diagnostic delays and medication errors while maintaining physician authority. Clinical decision support errors cost the US healthcare system an estimated $19.5B annually.</w:t>
            </w:r>
          </w:p>
        </w:tc>
        <w:tc>
          <w:tcPr>
            <w:tcW w:w="2160" w:type="dxa"/>
          </w:tcPr>
          <w:p w14:paraId="77A7D211" w14:textId="4118A661" w:rsidR="001A4EDA" w:rsidRDefault="00000000">
            <w:r>
              <w:rPr>
                <w:sz w:val="18"/>
              </w:rPr>
              <w:t>Multi-model verification (</w:t>
            </w:r>
            <w:r w:rsidR="00430777">
              <w:rPr>
                <w:sz w:val="18"/>
              </w:rPr>
              <w:t>AGT</w:t>
            </w:r>
            <w:r>
              <w:rPr>
                <w:sz w:val="18"/>
              </w:rPr>
              <w:t xml:space="preserve"> CMVK with minimum 3-model consensus for clinical recommendations). Integration with HL7 FHIR R5 resources (MedicationRequest, Condition, Observation). FDA SaMD compliance with PCCP for model updates.</w:t>
            </w:r>
          </w:p>
        </w:tc>
        <w:tc>
          <w:tcPr>
            <w:tcW w:w="2592" w:type="dxa"/>
          </w:tcPr>
          <w:p w14:paraId="7C32DCE5" w14:textId="77777777" w:rsidR="001A4EDA" w:rsidRDefault="00000000">
            <w:r>
              <w:rPr>
                <w:sz w:val="18"/>
              </w:rPr>
              <w:t xml:space="preserve">Clinical recommendations are BOSS-scored with maximum sensitivity. The Non-Idempotent Penalty (+15) applies to all clinical actions. No clinical recommendation reaches a physician without Cryptographic Authorization Vault </w:t>
            </w:r>
            <w:r>
              <w:rPr>
                <w:sz w:val="18"/>
              </w:rPr>
              <w:lastRenderedPageBreak/>
              <w:t>verification and Flight Recorder evidence.</w:t>
            </w:r>
          </w:p>
        </w:tc>
      </w:tr>
      <w:tr w:rsidR="001A4EDA" w14:paraId="0E64A1D8" w14:textId="77777777">
        <w:trPr>
          <w:jc w:val="center"/>
        </w:trPr>
        <w:tc>
          <w:tcPr>
            <w:tcW w:w="1872" w:type="dxa"/>
            <w:shd w:val="clear" w:color="auto" w:fill="F2F5F8"/>
          </w:tcPr>
          <w:p w14:paraId="33573857" w14:textId="77777777" w:rsidR="001A4EDA" w:rsidRDefault="00000000">
            <w:r>
              <w:rPr>
                <w:sz w:val="18"/>
              </w:rPr>
              <w:lastRenderedPageBreak/>
              <w:t>Patient Data Privacy</w:t>
            </w:r>
            <w:r>
              <w:rPr>
                <w:sz w:val="18"/>
              </w:rPr>
              <w:br/>
              <w:t>Enforcement Agent</w:t>
            </w:r>
          </w:p>
        </w:tc>
        <w:tc>
          <w:tcPr>
            <w:tcW w:w="1152" w:type="dxa"/>
            <w:shd w:val="clear" w:color="auto" w:fill="F2F5F8"/>
          </w:tcPr>
          <w:p w14:paraId="341928CA" w14:textId="77777777" w:rsidR="001A4EDA" w:rsidRDefault="00000000">
            <w:r>
              <w:rPr>
                <w:sz w:val="18"/>
              </w:rPr>
              <w:t>Work Group</w:t>
            </w:r>
            <w:r>
              <w:rPr>
                <w:sz w:val="18"/>
              </w:rPr>
              <w:br/>
              <w:t>(Privacy/Compliance)</w:t>
            </w:r>
          </w:p>
        </w:tc>
        <w:tc>
          <w:tcPr>
            <w:tcW w:w="2304" w:type="dxa"/>
            <w:shd w:val="clear" w:color="auto" w:fill="F2F5F8"/>
          </w:tcPr>
          <w:p w14:paraId="443E964A" w14:textId="77777777" w:rsidR="001A4EDA" w:rsidRDefault="00000000">
            <w:r>
              <w:rPr>
                <w:sz w:val="18"/>
              </w:rPr>
              <w:t>Enforces HIPAA Privacy Rule, Security Rule (2026 update), PIPL, GDPR Article 9 (health data), and state-specific privacy laws across all patient data access and processing operations.</w:t>
            </w:r>
          </w:p>
        </w:tc>
        <w:tc>
          <w:tcPr>
            <w:tcW w:w="2160" w:type="dxa"/>
            <w:shd w:val="clear" w:color="auto" w:fill="F2F5F8"/>
          </w:tcPr>
          <w:p w14:paraId="3018649C" w14:textId="77777777" w:rsidR="001A4EDA" w:rsidRDefault="00000000">
            <w:r>
              <w:rPr>
                <w:sz w:val="18"/>
              </w:rPr>
              <w:t>A single HIPAA breach can cost $1.5M per violation category. The 2026 Security Rule makes encryption, MFA, and network segmentation mandatory. Automated enforcement eliminates human error in privacy compliance.</w:t>
            </w:r>
          </w:p>
        </w:tc>
        <w:tc>
          <w:tcPr>
            <w:tcW w:w="2160" w:type="dxa"/>
            <w:shd w:val="clear" w:color="auto" w:fill="F2F5F8"/>
          </w:tcPr>
          <w:p w14:paraId="32D87257" w14:textId="77777777" w:rsidR="001A4EDA" w:rsidRDefault="00000000">
            <w:r>
              <w:rPr>
                <w:sz w:val="18"/>
              </w:rPr>
              <w:t>Real-time consent state verification via Cryptographic Authorization Vault. Jurisdiction-aware privacy policy enforcement (HIPAA for US, GDPR Art.9 for EU, PIPL for China). Automated breach detection with &lt;1 hour notification capability. Zero Trust data access per NIST SP 800-207.</w:t>
            </w:r>
          </w:p>
        </w:tc>
        <w:tc>
          <w:tcPr>
            <w:tcW w:w="2592" w:type="dxa"/>
            <w:shd w:val="clear" w:color="auto" w:fill="F2F5F8"/>
          </w:tcPr>
          <w:p w14:paraId="34A739E4" w14:textId="77777777" w:rsidR="001A4EDA" w:rsidRDefault="00000000">
            <w:r>
              <w:rPr>
                <w:sz w:val="18"/>
              </w:rPr>
              <w:t>Every patient data access is Cryptographic Authorization Vault-authorized with specific consent verification. BOSS Regulatory Impact scores at Very High (4.0) for healthcare. Privacy violations trigger OHSHAT-level escalation with automatic containment.</w:t>
            </w:r>
          </w:p>
        </w:tc>
      </w:tr>
      <w:tr w:rsidR="001A4EDA" w14:paraId="18865FE4" w14:textId="77777777">
        <w:trPr>
          <w:jc w:val="center"/>
        </w:trPr>
        <w:tc>
          <w:tcPr>
            <w:tcW w:w="1872" w:type="dxa"/>
          </w:tcPr>
          <w:p w14:paraId="45A18FEB" w14:textId="77777777" w:rsidR="001A4EDA" w:rsidRDefault="00000000">
            <w:r>
              <w:rPr>
                <w:sz w:val="18"/>
              </w:rPr>
              <w:t>Regulatory Submission &amp;</w:t>
            </w:r>
            <w:r>
              <w:rPr>
                <w:sz w:val="18"/>
              </w:rPr>
              <w:br/>
              <w:t>Compliance Agent</w:t>
            </w:r>
          </w:p>
        </w:tc>
        <w:tc>
          <w:tcPr>
            <w:tcW w:w="1152" w:type="dxa"/>
          </w:tcPr>
          <w:p w14:paraId="621B09E7" w14:textId="77777777" w:rsidR="001A4EDA" w:rsidRDefault="00000000">
            <w:r>
              <w:rPr>
                <w:sz w:val="18"/>
              </w:rPr>
              <w:t>Work Group</w:t>
            </w:r>
            <w:r>
              <w:rPr>
                <w:sz w:val="18"/>
              </w:rPr>
              <w:br/>
              <w:t>(Regulatory Affairs)</w:t>
            </w:r>
          </w:p>
        </w:tc>
        <w:tc>
          <w:tcPr>
            <w:tcW w:w="2304" w:type="dxa"/>
          </w:tcPr>
          <w:p w14:paraId="4257D376" w14:textId="77777777" w:rsidR="001A4EDA" w:rsidRDefault="00000000">
            <w:r>
              <w:rPr>
                <w:sz w:val="18"/>
              </w:rPr>
              <w:t>Manages FDA submissions, EMA dossiers, clinical trial regulatory requirements (GCP), and post-market surveillance reporting. Ensures 21 CFR Part 11 compliance for all electronic records.</w:t>
            </w:r>
          </w:p>
        </w:tc>
        <w:tc>
          <w:tcPr>
            <w:tcW w:w="2160" w:type="dxa"/>
          </w:tcPr>
          <w:p w14:paraId="3E5828F7" w14:textId="77777777" w:rsidR="001A4EDA" w:rsidRDefault="00000000">
            <w:r>
              <w:rPr>
                <w:sz w:val="18"/>
              </w:rPr>
              <w:t>Regulatory submissions are the bottleneck in drug/device commercialization. Automated preparation and compliance verification can reduce submission timelines by 40–60% while eliminating rejection-causing errors.</w:t>
            </w:r>
          </w:p>
        </w:tc>
        <w:tc>
          <w:tcPr>
            <w:tcW w:w="2160" w:type="dxa"/>
          </w:tcPr>
          <w:p w14:paraId="57285010" w14:textId="77777777" w:rsidR="001A4EDA" w:rsidRDefault="00000000">
            <w:r>
              <w:rPr>
                <w:sz w:val="18"/>
              </w:rPr>
              <w:t>21 CFR Part 11 compliance: tamper-evident audit trails (Flight Recorder), electronic signature verification, system validation documentation. HL7 FHIR integration for regulatory data exchange. EU MDR/IVDR conformity assessment support.</w:t>
            </w:r>
          </w:p>
        </w:tc>
        <w:tc>
          <w:tcPr>
            <w:tcW w:w="2592" w:type="dxa"/>
          </w:tcPr>
          <w:p w14:paraId="409468D4" w14:textId="77777777" w:rsidR="001A4EDA" w:rsidRDefault="00000000">
            <w:r>
              <w:rPr>
                <w:sz w:val="18"/>
              </w:rPr>
              <w:t>Every regulatory record carries cryptographic integrity proof via the Flight Recorder. The Cryptographic Authorization Vault provides the tamper-evident, signed evidence chain that 21 CFR Part 11 requires. No regulatory submission executes without director authorization.</w:t>
            </w:r>
          </w:p>
        </w:tc>
      </w:tr>
      <w:tr w:rsidR="001A4EDA" w14:paraId="12826086" w14:textId="77777777">
        <w:trPr>
          <w:jc w:val="center"/>
        </w:trPr>
        <w:tc>
          <w:tcPr>
            <w:tcW w:w="1872" w:type="dxa"/>
            <w:shd w:val="clear" w:color="auto" w:fill="F2F5F8"/>
          </w:tcPr>
          <w:p w14:paraId="76195D41" w14:textId="77777777" w:rsidR="001A4EDA" w:rsidRDefault="00000000">
            <w:r>
              <w:rPr>
                <w:sz w:val="18"/>
              </w:rPr>
              <w:t>PII Authorization Vault</w:t>
            </w:r>
            <w:r>
              <w:rPr>
                <w:sz w:val="18"/>
              </w:rPr>
              <w:br/>
              <w:t>Agent (Healthcare Extension)</w:t>
            </w:r>
          </w:p>
        </w:tc>
        <w:tc>
          <w:tcPr>
            <w:tcW w:w="1152" w:type="dxa"/>
            <w:shd w:val="clear" w:color="auto" w:fill="F2F5F8"/>
          </w:tcPr>
          <w:p w14:paraId="461B85FE" w14:textId="77777777" w:rsidR="001A4EDA" w:rsidRDefault="00000000">
            <w:r>
              <w:rPr>
                <w:sz w:val="18"/>
              </w:rPr>
              <w:t>Work Group</w:t>
            </w:r>
            <w:r>
              <w:rPr>
                <w:sz w:val="18"/>
              </w:rPr>
              <w:br/>
              <w:t>(Security/Privacy)</w:t>
            </w:r>
          </w:p>
        </w:tc>
        <w:tc>
          <w:tcPr>
            <w:tcW w:w="2304" w:type="dxa"/>
            <w:shd w:val="clear" w:color="auto" w:fill="F2F5F8"/>
          </w:tcPr>
          <w:p w14:paraId="28F03306" w14:textId="77777777" w:rsidR="001A4EDA" w:rsidRDefault="00000000">
            <w:r>
              <w:rPr>
                <w:sz w:val="18"/>
              </w:rPr>
              <w:t xml:space="preserve">Extends the Cryptographic Authorization Vault (Privacy Lockbox) with healthcare-specific authorization patterns: patient consent management, HIPAA authorization tracking, research data use agreements, clinical trial </w:t>
            </w:r>
            <w:r>
              <w:rPr>
                <w:sz w:val="18"/>
              </w:rPr>
              <w:lastRenderedPageBreak/>
              <w:t>consent, and biobank specimen consent.</w:t>
            </w:r>
          </w:p>
        </w:tc>
        <w:tc>
          <w:tcPr>
            <w:tcW w:w="2160" w:type="dxa"/>
            <w:shd w:val="clear" w:color="auto" w:fill="F2F5F8"/>
          </w:tcPr>
          <w:p w14:paraId="21E2272D" w14:textId="77777777" w:rsidR="001A4EDA" w:rsidRDefault="00000000">
            <w:r>
              <w:rPr>
                <w:sz w:val="18"/>
              </w:rPr>
              <w:lastRenderedPageBreak/>
              <w:t>Healthcare consent is uniquely complex: patients grant and revoke consent across multiple providers, researchers, and purposes. A single unauthorized data use can trigger federal investigation.</w:t>
            </w:r>
          </w:p>
        </w:tc>
        <w:tc>
          <w:tcPr>
            <w:tcW w:w="2160" w:type="dxa"/>
            <w:shd w:val="clear" w:color="auto" w:fill="F2F5F8"/>
          </w:tcPr>
          <w:p w14:paraId="7C05B373" w14:textId="77777777" w:rsidR="001A4EDA" w:rsidRDefault="00000000">
            <w:r>
              <w:rPr>
                <w:sz w:val="18"/>
              </w:rPr>
              <w:t xml:space="preserve">Cryptographic ledgering within ADAM’s open-source vault architecture encoding: patient consent with purpose limitation, temporal bounds, and revocation propagation. PIPL "separate consent" enforcement for Chinese patient data. Research ethics board (IRB/REC) </w:t>
            </w:r>
            <w:r>
              <w:rPr>
                <w:sz w:val="18"/>
              </w:rPr>
              <w:lastRenderedPageBreak/>
              <w:t>authorization tracking.</w:t>
            </w:r>
          </w:p>
        </w:tc>
        <w:tc>
          <w:tcPr>
            <w:tcW w:w="2592" w:type="dxa"/>
            <w:shd w:val="clear" w:color="auto" w:fill="F2F5F8"/>
          </w:tcPr>
          <w:p w14:paraId="01C23546" w14:textId="77777777" w:rsidR="001A4EDA" w:rsidRDefault="00000000">
            <w:r>
              <w:rPr>
                <w:sz w:val="18"/>
              </w:rPr>
              <w:lastRenderedPageBreak/>
              <w:t xml:space="preserve">The PII Authorization Vault is the trust anchor for all patient data operations. No patient data is processed without verified, current consent. Consent revocation propagates immediately across all agents and services. Every consent </w:t>
            </w:r>
            <w:r>
              <w:rPr>
                <w:sz w:val="18"/>
              </w:rPr>
              <w:lastRenderedPageBreak/>
              <w:t>state change is immutably recorded.</w:t>
            </w:r>
          </w:p>
        </w:tc>
      </w:tr>
      <w:tr w:rsidR="001A4EDA" w14:paraId="0837A38F" w14:textId="77777777">
        <w:trPr>
          <w:jc w:val="center"/>
        </w:trPr>
        <w:tc>
          <w:tcPr>
            <w:tcW w:w="1872" w:type="dxa"/>
          </w:tcPr>
          <w:p w14:paraId="2EBDC0F6" w14:textId="77777777" w:rsidR="001A4EDA" w:rsidRDefault="00000000">
            <w:r>
              <w:rPr>
                <w:sz w:val="18"/>
              </w:rPr>
              <w:lastRenderedPageBreak/>
              <w:t>Pharmaceutical Supply Chain</w:t>
            </w:r>
            <w:r>
              <w:rPr>
                <w:sz w:val="18"/>
              </w:rPr>
              <w:br/>
              <w:t>Governance Agent</w:t>
            </w:r>
          </w:p>
        </w:tc>
        <w:tc>
          <w:tcPr>
            <w:tcW w:w="1152" w:type="dxa"/>
          </w:tcPr>
          <w:p w14:paraId="40A06466" w14:textId="77777777" w:rsidR="001A4EDA" w:rsidRDefault="00000000">
            <w:r>
              <w:rPr>
                <w:sz w:val="18"/>
              </w:rPr>
              <w:t>Work Group</w:t>
            </w:r>
            <w:r>
              <w:rPr>
                <w:sz w:val="18"/>
              </w:rPr>
              <w:br/>
              <w:t>(Supply Chain)</w:t>
            </w:r>
          </w:p>
        </w:tc>
        <w:tc>
          <w:tcPr>
            <w:tcW w:w="2304" w:type="dxa"/>
          </w:tcPr>
          <w:p w14:paraId="64387E62" w14:textId="77777777" w:rsidR="001A4EDA" w:rsidRDefault="00000000">
            <w:r>
              <w:rPr>
                <w:sz w:val="18"/>
              </w:rPr>
              <w:t>Governs pharmaceutical manufacturing, distribution, and dispensing operations. Enforces GMP, GDP, GLP compliance. Manages drug serialization, track-and-trace, and cold chain monitoring.</w:t>
            </w:r>
          </w:p>
        </w:tc>
        <w:tc>
          <w:tcPr>
            <w:tcW w:w="2160" w:type="dxa"/>
          </w:tcPr>
          <w:p w14:paraId="665573EE" w14:textId="77777777" w:rsidR="001A4EDA" w:rsidRDefault="00000000">
            <w:r>
              <w:rPr>
                <w:sz w:val="18"/>
              </w:rPr>
              <w:t>Pharmaceutical supply chain integrity directly affects patient safety. Counterfeit drugs kill an estimated 1 million people annually worldwide. Automated governance ensures end-to-end chain of custody.</w:t>
            </w:r>
          </w:p>
        </w:tc>
        <w:tc>
          <w:tcPr>
            <w:tcW w:w="2160" w:type="dxa"/>
          </w:tcPr>
          <w:p w14:paraId="774D54BD" w14:textId="77777777" w:rsidR="001A4EDA" w:rsidRDefault="00000000">
            <w:r>
              <w:rPr>
                <w:sz w:val="18"/>
              </w:rPr>
              <w:t>GxP compliance enforcement: GMP (manufacturing), GLP (laboratory), GCP (clinical trials), GDP (distribution). Integration with drug serialization systems (DSCSA compliance). Cold chain IoT sensor integration with real-time temperature excursion alerting.</w:t>
            </w:r>
          </w:p>
        </w:tc>
        <w:tc>
          <w:tcPr>
            <w:tcW w:w="2592" w:type="dxa"/>
          </w:tcPr>
          <w:p w14:paraId="6CB8CA59" w14:textId="77777777" w:rsidR="001A4EDA" w:rsidRDefault="00000000">
            <w:r>
              <w:rPr>
                <w:sz w:val="18"/>
              </w:rPr>
              <w:t>Supply chain actions are BOSS-scored with Security Impact and Regulatory Impact at maximum sensitivity. GxP deviations trigger structured exception packets with full context for the Legal Director. The Flight Recorder provides the audit trail required by GxP regulations.</w:t>
            </w:r>
          </w:p>
        </w:tc>
      </w:tr>
      <w:tr w:rsidR="001A4EDA" w14:paraId="4FE4357B" w14:textId="77777777">
        <w:trPr>
          <w:jc w:val="center"/>
        </w:trPr>
        <w:tc>
          <w:tcPr>
            <w:tcW w:w="1872" w:type="dxa"/>
            <w:shd w:val="clear" w:color="auto" w:fill="F2F5F8"/>
          </w:tcPr>
          <w:p w14:paraId="598A55BA" w14:textId="77777777" w:rsidR="001A4EDA" w:rsidRDefault="00000000">
            <w:r>
              <w:rPr>
                <w:sz w:val="18"/>
              </w:rPr>
              <w:t>Clinical Trial Operations</w:t>
            </w:r>
            <w:r>
              <w:rPr>
                <w:sz w:val="18"/>
              </w:rPr>
              <w:br/>
              <w:t>Agent</w:t>
            </w:r>
          </w:p>
        </w:tc>
        <w:tc>
          <w:tcPr>
            <w:tcW w:w="1152" w:type="dxa"/>
            <w:shd w:val="clear" w:color="auto" w:fill="F2F5F8"/>
          </w:tcPr>
          <w:p w14:paraId="2B07A3ED" w14:textId="77777777" w:rsidR="001A4EDA" w:rsidRDefault="00000000">
            <w:r>
              <w:rPr>
                <w:sz w:val="18"/>
              </w:rPr>
              <w:t>Work Group</w:t>
            </w:r>
            <w:r>
              <w:rPr>
                <w:sz w:val="18"/>
              </w:rPr>
              <w:br/>
              <w:t>(Research)</w:t>
            </w:r>
          </w:p>
        </w:tc>
        <w:tc>
          <w:tcPr>
            <w:tcW w:w="2304" w:type="dxa"/>
            <w:shd w:val="clear" w:color="auto" w:fill="F2F5F8"/>
          </w:tcPr>
          <w:p w14:paraId="5F288F64" w14:textId="77777777" w:rsidR="001A4EDA" w:rsidRDefault="00000000">
            <w:r>
              <w:rPr>
                <w:sz w:val="18"/>
              </w:rPr>
              <w:t>Manages clinical trial workflows: patient recruitment screening, protocol adherence monitoring, adverse event detection and reporting, data integrity monitoring, and regulatory milestone tracking.</w:t>
            </w:r>
          </w:p>
        </w:tc>
        <w:tc>
          <w:tcPr>
            <w:tcW w:w="2160" w:type="dxa"/>
            <w:shd w:val="clear" w:color="auto" w:fill="F2F5F8"/>
          </w:tcPr>
          <w:p w14:paraId="3211D66E" w14:textId="77777777" w:rsidR="001A4EDA" w:rsidRDefault="00000000">
            <w:r>
              <w:rPr>
                <w:sz w:val="18"/>
              </w:rPr>
              <w:t>Clinical trials cost $15–$50M per trial on average. Protocol deviations and data integrity issues are the leading causes of trial delays and regulatory rejection. Automated monitoring catches deviations in real-time.</w:t>
            </w:r>
          </w:p>
        </w:tc>
        <w:tc>
          <w:tcPr>
            <w:tcW w:w="2160" w:type="dxa"/>
            <w:shd w:val="clear" w:color="auto" w:fill="F2F5F8"/>
          </w:tcPr>
          <w:p w14:paraId="715C1166" w14:textId="77777777" w:rsidR="001A4EDA" w:rsidRDefault="00000000">
            <w:r>
              <w:rPr>
                <w:sz w:val="18"/>
              </w:rPr>
              <w:t>GCP compliance enforcement with automated protocol deviation detection. HL7 FHIR integration for clinical data exchange. Adverse event detection using multi-source data correlation (EHR, lab systems, patient-reported outcomes). CDISC data standard compliance.</w:t>
            </w:r>
          </w:p>
        </w:tc>
        <w:tc>
          <w:tcPr>
            <w:tcW w:w="2592" w:type="dxa"/>
            <w:shd w:val="clear" w:color="auto" w:fill="F2F5F8"/>
          </w:tcPr>
          <w:p w14:paraId="74147548" w14:textId="77777777" w:rsidR="001A4EDA" w:rsidRDefault="00000000">
            <w:r>
              <w:rPr>
                <w:sz w:val="18"/>
              </w:rPr>
              <w:t>Every clinical trial action is Flight Recorder-evidenced with cryptographic integrity. Protocol deviations generate immediate exception packets. Patient safety signals trigger OHSHAT-level escalation regardless of BOSS composite score.</w:t>
            </w:r>
          </w:p>
        </w:tc>
      </w:tr>
      <w:tr w:rsidR="001A4EDA" w14:paraId="1ABB3197" w14:textId="77777777">
        <w:trPr>
          <w:jc w:val="center"/>
        </w:trPr>
        <w:tc>
          <w:tcPr>
            <w:tcW w:w="1872" w:type="dxa"/>
          </w:tcPr>
          <w:p w14:paraId="00E47FF0" w14:textId="77777777" w:rsidR="001A4EDA" w:rsidRDefault="00000000">
            <w:r>
              <w:rPr>
                <w:sz w:val="18"/>
              </w:rPr>
              <w:t>Quantum-Safe Security</w:t>
            </w:r>
            <w:r>
              <w:rPr>
                <w:sz w:val="18"/>
              </w:rPr>
              <w:br/>
              <w:t>Orchestrator</w:t>
            </w:r>
          </w:p>
        </w:tc>
        <w:tc>
          <w:tcPr>
            <w:tcW w:w="1152" w:type="dxa"/>
          </w:tcPr>
          <w:p w14:paraId="590CBBE7" w14:textId="77777777" w:rsidR="001A4EDA" w:rsidRDefault="00000000">
            <w:r>
              <w:rPr>
                <w:sz w:val="18"/>
              </w:rPr>
              <w:t>Work Group</w:t>
            </w:r>
            <w:r>
              <w:rPr>
                <w:sz w:val="18"/>
              </w:rPr>
              <w:br/>
            </w:r>
            <w:r>
              <w:rPr>
                <w:sz w:val="18"/>
              </w:rPr>
              <w:t>(Security)</w:t>
            </w:r>
          </w:p>
        </w:tc>
        <w:tc>
          <w:tcPr>
            <w:tcW w:w="2304" w:type="dxa"/>
          </w:tcPr>
          <w:p w14:paraId="58918314" w14:textId="77777777" w:rsidR="001A4EDA" w:rsidRDefault="00000000">
            <w:r>
              <w:rPr>
                <w:sz w:val="18"/>
              </w:rPr>
              <w:t xml:space="preserve">Manages the transition to quantum-safe cryptography (NIST FIPS 203/204/205) across all healthcare data protection systems. Provides quantum-aware defensive </w:t>
            </w:r>
            <w:r>
              <w:rPr>
                <w:sz w:val="18"/>
              </w:rPr>
              <w:lastRenderedPageBreak/>
              <w:t>services and quantum-safe key management.</w:t>
            </w:r>
          </w:p>
        </w:tc>
        <w:tc>
          <w:tcPr>
            <w:tcW w:w="2160" w:type="dxa"/>
          </w:tcPr>
          <w:p w14:paraId="615E8CBA" w14:textId="77777777" w:rsidR="001A4EDA" w:rsidRDefault="00000000">
            <w:r>
              <w:rPr>
                <w:sz w:val="18"/>
              </w:rPr>
              <w:lastRenderedPageBreak/>
              <w:t xml:space="preserve">Healthcare data has a 10+ year sensitivity window. Patient records, clinical trial data, and genomic information encrypted today must remain secure against quantum attacks projected within </w:t>
            </w:r>
            <w:r>
              <w:rPr>
                <w:sz w:val="18"/>
              </w:rPr>
              <w:lastRenderedPageBreak/>
              <w:t>10–20 years. Migration must begin now.</w:t>
            </w:r>
          </w:p>
        </w:tc>
        <w:tc>
          <w:tcPr>
            <w:tcW w:w="2160" w:type="dxa"/>
          </w:tcPr>
          <w:p w14:paraId="03499C15" w14:textId="77777777" w:rsidR="001A4EDA" w:rsidRDefault="00000000">
            <w:r>
              <w:rPr>
                <w:sz w:val="18"/>
              </w:rPr>
              <w:lastRenderedPageBreak/>
              <w:t xml:space="preserve">FIPS 203 (ML-KEM/CRYSTALS-Kyber) for key encapsulation. FIPS 204 (ML-DSA/CRYSTALS-Dilithium) for digital signatures. FIPS 205 (SLH-DSA/SPHINCS+) for hash-based signatures. Hybrid encryption </w:t>
            </w:r>
            <w:r>
              <w:rPr>
                <w:sz w:val="18"/>
              </w:rPr>
              <w:lastRenderedPageBreak/>
              <w:t>(classical + PQC) during transition. Crypto-agility architecture enabling algorithm replacement.</w:t>
            </w:r>
          </w:p>
        </w:tc>
        <w:tc>
          <w:tcPr>
            <w:tcW w:w="2592" w:type="dxa"/>
          </w:tcPr>
          <w:p w14:paraId="39F5834F" w14:textId="77777777" w:rsidR="001A4EDA" w:rsidRDefault="00000000">
            <w:r>
              <w:rPr>
                <w:sz w:val="18"/>
              </w:rPr>
              <w:lastRenderedPageBreak/>
              <w:t xml:space="preserve">Quantum-safe migration is a BOSS-scored governance activity. The Cryptographic Authorization Vault transitions to quantum-safe signatures. Key rotation to PQC algorithms is tracked, </w:t>
            </w:r>
            <w:r>
              <w:rPr>
                <w:sz w:val="18"/>
              </w:rPr>
              <w:lastRenderedPageBreak/>
              <w:t>evidenced, and scheduled through ADAM’s governance feedback loops.</w:t>
            </w:r>
          </w:p>
        </w:tc>
      </w:tr>
      <w:tr w:rsidR="001A4EDA" w14:paraId="6CEAC714" w14:textId="77777777">
        <w:trPr>
          <w:jc w:val="center"/>
        </w:trPr>
        <w:tc>
          <w:tcPr>
            <w:tcW w:w="1872" w:type="dxa"/>
            <w:shd w:val="clear" w:color="auto" w:fill="F2F5F8"/>
          </w:tcPr>
          <w:p w14:paraId="1A6A27B4" w14:textId="77777777" w:rsidR="001A4EDA" w:rsidRDefault="00000000">
            <w:r>
              <w:rPr>
                <w:sz w:val="18"/>
              </w:rPr>
              <w:lastRenderedPageBreak/>
              <w:t>Quantum Offensive/Defensive</w:t>
            </w:r>
            <w:r>
              <w:rPr>
                <w:sz w:val="18"/>
              </w:rPr>
              <w:br/>
              <w:t>Security Agent</w:t>
            </w:r>
          </w:p>
        </w:tc>
        <w:tc>
          <w:tcPr>
            <w:tcW w:w="1152" w:type="dxa"/>
            <w:shd w:val="clear" w:color="auto" w:fill="F2F5F8"/>
          </w:tcPr>
          <w:p w14:paraId="7581E08E" w14:textId="77777777" w:rsidR="001A4EDA" w:rsidRDefault="00000000">
            <w:r>
              <w:rPr>
                <w:sz w:val="18"/>
              </w:rPr>
              <w:t>Work Group</w:t>
            </w:r>
            <w:r>
              <w:rPr>
                <w:sz w:val="18"/>
              </w:rPr>
              <w:br/>
              <w:t>(Security)</w:t>
            </w:r>
          </w:p>
        </w:tc>
        <w:tc>
          <w:tcPr>
            <w:tcW w:w="2304" w:type="dxa"/>
            <w:shd w:val="clear" w:color="auto" w:fill="F2F5F8"/>
          </w:tcPr>
          <w:p w14:paraId="1290A252" w14:textId="77777777" w:rsidR="001A4EDA" w:rsidRDefault="00000000">
            <w:r>
              <w:rPr>
                <w:sz w:val="18"/>
              </w:rPr>
              <w:t>Provides quantum-aware threat assessment during defensive operations: automated threat hunting, quantum-resistant incident response, and proactive counter-measures against quantum-capable adversaries targeting healthcare infrastructure.</w:t>
            </w:r>
          </w:p>
        </w:tc>
        <w:tc>
          <w:tcPr>
            <w:tcW w:w="2160" w:type="dxa"/>
            <w:shd w:val="clear" w:color="auto" w:fill="F2F5F8"/>
          </w:tcPr>
          <w:p w14:paraId="51AFEBA5" w14:textId="77777777" w:rsidR="001A4EDA" w:rsidRDefault="00000000">
            <w:r>
              <w:rPr>
                <w:sz w:val="18"/>
              </w:rPr>
              <w:t>Healthcare is the #1 target for ransomware and data exfiltration. Quantum computing will render current encryption vulnerable. Proactive quantum-aware defense posture is essential for zero-fail healthcare environments.</w:t>
            </w:r>
          </w:p>
        </w:tc>
        <w:tc>
          <w:tcPr>
            <w:tcW w:w="2160" w:type="dxa"/>
            <w:shd w:val="clear" w:color="auto" w:fill="F2F5F8"/>
          </w:tcPr>
          <w:p w14:paraId="64EFFA32" w14:textId="2E637504" w:rsidR="001A4EDA" w:rsidRDefault="00000000">
            <w:r>
              <w:rPr>
                <w:sz w:val="18"/>
              </w:rPr>
              <w:t xml:space="preserve">Quantum threat detection using lattice-based cryptographic verification. Automated incident response with quantum-safe communication channels. Integration with </w:t>
            </w:r>
            <w:r w:rsidR="00430777">
              <w:rPr>
                <w:sz w:val="18"/>
              </w:rPr>
              <w:t>AGT</w:t>
            </w:r>
            <w:r>
              <w:rPr>
                <w:sz w:val="18"/>
              </w:rPr>
              <w:t xml:space="preserve"> Agent Mesh for DID-based identity verification during incident response. Proactive vulnerability assessment against quantum attack vectors.</w:t>
            </w:r>
          </w:p>
        </w:tc>
        <w:tc>
          <w:tcPr>
            <w:tcW w:w="2592" w:type="dxa"/>
            <w:shd w:val="clear" w:color="auto" w:fill="F2F5F8"/>
          </w:tcPr>
          <w:p w14:paraId="655E4786" w14:textId="77777777" w:rsidR="001A4EDA" w:rsidRDefault="00000000">
            <w:r>
              <w:rPr>
                <w:sz w:val="18"/>
              </w:rPr>
              <w:t>Defensive security actions are BOSS-scored at maximum sensitivity. Every counter-measure is Cryptographic Authorization Vault-authorized with explicit scope constraints. No defensive action executes without CISO and CEO director authorization through the Trust Gateway.</w:t>
            </w:r>
          </w:p>
        </w:tc>
      </w:tr>
    </w:tbl>
    <w:p w14:paraId="05E43D96" w14:textId="77777777" w:rsidR="001A4EDA" w:rsidRDefault="001A4EDA"/>
    <w:p w14:paraId="201B4596" w14:textId="77777777" w:rsidR="001A4EDA" w:rsidRDefault="00000000">
      <w:r>
        <w:t>The eight healthcare agents bring the total agent count for a healthcare deployment to 89. The Governor Agent—the Clinical Decision Support Governor—sits at the Domain Governance layer and serves as the clinical domain’s primary governance authority. Work Group agents execute specialized functions—privacy enforcement, regulatory submissions, supply chain governance—within the boundaries defined by the Governor Agent, ADAM’s policy engine, and the 5-Director Constitution.</w:t>
      </w:r>
    </w:p>
    <w:p w14:paraId="514957C5" w14:textId="77777777" w:rsidR="001A4EDA" w:rsidRDefault="00000000">
      <w:r>
        <w:t>A critical design decision in healthcare: the Clinical Decision Support Governor operates in advisory mode only. ADAM never autonomously executes clinical decisions—it recommends, scores, and evidences. The physician retains clinical authority. This is not a limitation of ADAM’s capability; it is a deliberate doctrinal constraint that reflects the legal, ethical, and practical reality of healthcare. ADAM governs the governance of clinical decisions, not the clinical decisions themselves.</w:t>
      </w:r>
    </w:p>
    <w:tbl>
      <w:tblPr>
        <w:tblW w:w="0" w:type="auto"/>
        <w:jc w:val="center"/>
        <w:tblLook w:val="04A0" w:firstRow="1" w:lastRow="0" w:firstColumn="1" w:lastColumn="0" w:noHBand="0" w:noVBand="1"/>
      </w:tblPr>
      <w:tblGrid>
        <w:gridCol w:w="9360"/>
      </w:tblGrid>
      <w:tr w:rsidR="001A4EDA" w14:paraId="19D5E155" w14:textId="77777777">
        <w:trPr>
          <w:jc w:val="center"/>
        </w:trPr>
        <w:tc>
          <w:tcPr>
            <w:tcW w:w="9360" w:type="dxa"/>
            <w:shd w:val="clear" w:color="auto" w:fill="FFF3E0"/>
          </w:tcPr>
          <w:p w14:paraId="05B8F6F6" w14:textId="77777777" w:rsidR="001A4EDA" w:rsidRDefault="00000000">
            <w:r>
              <w:rPr>
                <w:b/>
                <w:color w:val="8B5E00"/>
              </w:rPr>
              <w:t>SCENARIO: NetHealthX — Clinical Trial Deviation Detection</w:t>
            </w:r>
          </w:p>
          <w:p w14:paraId="23E6FF67" w14:textId="77777777" w:rsidR="001A4EDA" w:rsidRDefault="00000000">
            <w:r>
              <w:rPr>
                <w:sz w:val="20"/>
              </w:rPr>
              <w:t>NetHealthX is running a Phase III clinical trial for a novel anticoagulant across 4 of its 6 hospitals. The protocol requires blood draws at 24-hour and 72-hour intervals post-dose. 847 patients are enrolled.</w:t>
            </w:r>
          </w:p>
          <w:p w14:paraId="6FE0E98F" w14:textId="77777777" w:rsidR="001A4EDA" w:rsidRDefault="00000000">
            <w:r>
              <w:rPr>
                <w:sz w:val="20"/>
              </w:rPr>
              <w:t>ADAM’s Clinical Trial Operations Agent monitors protocol adherence in real-time through HL7 FHIR integration with the EHR systems at all 4 sites. On Day 14 of the trial, the agent detects a pattern: Site 3 (a suburban hospital) has a 23% deviation rate for the 72-hour blood draw—significantly above the 4% rate at other sites. The deviation is not random; it clusters around weekend admissions when phlebotomy staffing is reduced.</w:t>
            </w:r>
          </w:p>
          <w:p w14:paraId="226CF64E" w14:textId="77777777" w:rsidR="001A4EDA" w:rsidRDefault="00000000">
            <w:r>
              <w:rPr>
                <w:sz w:val="20"/>
              </w:rPr>
              <w:t xml:space="preserve">BOSS Regulatory Impact score: 54 (HIGH tier). The exception packet routes to the Legal Director with full analysis: 19 patients at Site 3 have missed their 72-hour window, the staffing pattern is the root cause, and the </w:t>
            </w:r>
            <w:r>
              <w:rPr>
                <w:sz w:val="20"/>
              </w:rPr>
              <w:lastRenderedPageBreak/>
              <w:t>proposed corrective action is a weekend phlebotomy staffing increase. The Legal Director authorizes the corrective action and instructs the research team to file a protocol deviation report.</w:t>
            </w:r>
          </w:p>
          <w:p w14:paraId="4931E2C8" w14:textId="77777777" w:rsidR="001A4EDA" w:rsidRDefault="00000000">
            <w:r>
              <w:rPr>
                <w:sz w:val="20"/>
              </w:rPr>
              <w:t>Without ADAM: the deviation pattern is not detected until the quarterly data review—by which time 140+ patients have missed draws, the FDA flags the data integrity issue during pre-approval inspection, and the trial timeline extends by 6 months at a cost of $8M. With ADAM: 19 patients affected, corrective action in place within 48 hours, proactive deviation report filed, and the Flight Recorder provides the evidence chain that the FDA inspector will need to see.</w:t>
            </w:r>
          </w:p>
        </w:tc>
      </w:tr>
    </w:tbl>
    <w:p w14:paraId="3D324914" w14:textId="77777777" w:rsidR="001A4EDA" w:rsidRDefault="001A4EDA"/>
    <w:p w14:paraId="4D2A5DE1" w14:textId="77777777" w:rsidR="001A4EDA" w:rsidRDefault="00000000">
      <w:pPr>
        <w:pStyle w:val="Heading2"/>
      </w:pPr>
      <w:bookmarkStart w:id="17" w:name="_Toc227587138"/>
      <w:r>
        <w:t>III.3 Major Healthcare Services Enabling Holistic ADAM Operation</w:t>
      </w:r>
      <w:bookmarkEnd w:id="17"/>
    </w:p>
    <w:p w14:paraId="6D6063DE" w14:textId="77777777" w:rsidR="001A4EDA" w:rsidRDefault="00000000">
      <w:r>
        <w:rPr>
          <w:b/>
          <w:sz w:val="24"/>
        </w:rPr>
        <w:t>Healthcare interoperability is not optional—it is federally mandated.</w:t>
      </w:r>
    </w:p>
    <w:p w14:paraId="25E42167" w14:textId="77777777" w:rsidR="001A4EDA" w:rsidRDefault="00000000">
      <w:r>
        <w:t>Healthcare systems operate within a web of mandated interoperability standards, regulatory reporting requirements, and data governance obligations that no individual agent can satisfy alone. The following services provide the infrastructure substrate that healthcare agents depend on—the connective tissue between ADAM’s governance model and the complex reality of healthcare IT ecosystems.</w:t>
      </w:r>
    </w:p>
    <w:tbl>
      <w:tblPr>
        <w:tblStyle w:val="TableGrid"/>
        <w:tblW w:w="0" w:type="auto"/>
        <w:jc w:val="center"/>
        <w:tblLook w:val="04A0" w:firstRow="1" w:lastRow="0" w:firstColumn="1" w:lastColumn="0" w:noHBand="0" w:noVBand="1"/>
      </w:tblPr>
      <w:tblGrid>
        <w:gridCol w:w="2342"/>
        <w:gridCol w:w="2805"/>
        <w:gridCol w:w="4203"/>
      </w:tblGrid>
      <w:tr w:rsidR="001A4EDA" w14:paraId="1ECD88E7" w14:textId="77777777">
        <w:trPr>
          <w:jc w:val="center"/>
        </w:trPr>
        <w:tc>
          <w:tcPr>
            <w:tcW w:w="2880" w:type="dxa"/>
            <w:shd w:val="clear" w:color="auto" w:fill="1F3A5F"/>
          </w:tcPr>
          <w:p w14:paraId="3BE239AB" w14:textId="77777777" w:rsidR="001A4EDA" w:rsidRDefault="00000000">
            <w:r>
              <w:rPr>
                <w:b/>
                <w:color w:val="FFFFFF"/>
                <w:sz w:val="20"/>
              </w:rPr>
              <w:t>Service</w:t>
            </w:r>
          </w:p>
        </w:tc>
        <w:tc>
          <w:tcPr>
            <w:tcW w:w="3600" w:type="dxa"/>
            <w:shd w:val="clear" w:color="auto" w:fill="1F3A5F"/>
          </w:tcPr>
          <w:p w14:paraId="70CB395F" w14:textId="77777777" w:rsidR="001A4EDA" w:rsidRDefault="00000000">
            <w:r>
              <w:rPr>
                <w:b/>
                <w:color w:val="FFFFFF"/>
                <w:sz w:val="20"/>
              </w:rPr>
              <w:t>Purpose</w:t>
            </w:r>
          </w:p>
        </w:tc>
        <w:tc>
          <w:tcPr>
            <w:tcW w:w="5760" w:type="dxa"/>
            <w:shd w:val="clear" w:color="auto" w:fill="1F3A5F"/>
          </w:tcPr>
          <w:p w14:paraId="3F64F310" w14:textId="77777777" w:rsidR="001A4EDA" w:rsidRDefault="00000000">
            <w:r>
              <w:rPr>
                <w:b/>
                <w:color w:val="FFFFFF"/>
                <w:sz w:val="20"/>
              </w:rPr>
              <w:t>Why It Matters for Healthcare</w:t>
            </w:r>
          </w:p>
        </w:tc>
      </w:tr>
      <w:tr w:rsidR="001A4EDA" w14:paraId="0E85AB1C" w14:textId="77777777">
        <w:trPr>
          <w:jc w:val="center"/>
        </w:trPr>
        <w:tc>
          <w:tcPr>
            <w:tcW w:w="2880" w:type="dxa"/>
          </w:tcPr>
          <w:p w14:paraId="4E09C276" w14:textId="77777777" w:rsidR="001A4EDA" w:rsidRDefault="00000000">
            <w:r>
              <w:rPr>
                <w:sz w:val="18"/>
              </w:rPr>
              <w:t>HL7 FHIR Interoperability Gateway</w:t>
            </w:r>
          </w:p>
        </w:tc>
        <w:tc>
          <w:tcPr>
            <w:tcW w:w="3600" w:type="dxa"/>
          </w:tcPr>
          <w:p w14:paraId="6775F9B6" w14:textId="77777777" w:rsidR="001A4EDA" w:rsidRDefault="00000000">
            <w:r>
              <w:rPr>
                <w:sz w:val="18"/>
              </w:rPr>
              <w:t>Bidirectional integration with healthcare systems via FHIR R4/R5 RESTful APIs. Resource mapping, Capability Statement negotiation, and SMART on FHIR authorization.</w:t>
            </w:r>
          </w:p>
        </w:tc>
        <w:tc>
          <w:tcPr>
            <w:tcW w:w="5760" w:type="dxa"/>
          </w:tcPr>
          <w:p w14:paraId="33F9BAF2" w14:textId="77777777" w:rsidR="001A4EDA" w:rsidRDefault="00000000">
            <w:r>
              <w:rPr>
                <w:sz w:val="18"/>
              </w:rPr>
              <w:t>Healthcare interoperability is mandated by regulation (ONC 21st Century Cures Act) and essential for clinical decision support. ADAM must speak FHIR natively to integrate with EHR, lab, pharmacy, and imaging systems.</w:t>
            </w:r>
          </w:p>
        </w:tc>
      </w:tr>
      <w:tr w:rsidR="001A4EDA" w14:paraId="1ADB4964" w14:textId="77777777">
        <w:trPr>
          <w:jc w:val="center"/>
        </w:trPr>
        <w:tc>
          <w:tcPr>
            <w:tcW w:w="2880" w:type="dxa"/>
            <w:shd w:val="clear" w:color="auto" w:fill="F2F5F8"/>
          </w:tcPr>
          <w:p w14:paraId="390218CE" w14:textId="77777777" w:rsidR="001A4EDA" w:rsidRDefault="00000000">
            <w:r>
              <w:rPr>
                <w:sz w:val="18"/>
              </w:rPr>
              <w:t xml:space="preserve">HIPAA Compliance </w:t>
            </w:r>
            <w:r>
              <w:rPr>
                <w:sz w:val="18"/>
              </w:rPr>
              <w:t>Enforcement Engine</w:t>
            </w:r>
          </w:p>
        </w:tc>
        <w:tc>
          <w:tcPr>
            <w:tcW w:w="3600" w:type="dxa"/>
            <w:shd w:val="clear" w:color="auto" w:fill="F2F5F8"/>
          </w:tcPr>
          <w:p w14:paraId="207E6331" w14:textId="77777777" w:rsidR="001A4EDA" w:rsidRDefault="00000000">
            <w:r>
              <w:rPr>
                <w:sz w:val="18"/>
              </w:rPr>
              <w:t>Continuous enforcement of HIPAA Security Rule (2026 update), Privacy Rule, and Breach Notification Rule across all patient data operations.</w:t>
            </w:r>
          </w:p>
        </w:tc>
        <w:tc>
          <w:tcPr>
            <w:tcW w:w="5760" w:type="dxa"/>
            <w:shd w:val="clear" w:color="auto" w:fill="F2F5F8"/>
          </w:tcPr>
          <w:p w14:paraId="2BB005CD" w14:textId="77777777" w:rsidR="001A4EDA" w:rsidRDefault="00000000">
            <w:r>
              <w:rPr>
                <w:sz w:val="18"/>
              </w:rPr>
              <w:t>The 2026 HIPAA update makes encryption, MFA, and network segmentation mandatory. Annual testing and business associate verification are required. Automated enforcement is the only scalable approach.</w:t>
            </w:r>
          </w:p>
        </w:tc>
      </w:tr>
      <w:tr w:rsidR="001A4EDA" w14:paraId="6F027D56" w14:textId="77777777">
        <w:trPr>
          <w:jc w:val="center"/>
        </w:trPr>
        <w:tc>
          <w:tcPr>
            <w:tcW w:w="2880" w:type="dxa"/>
          </w:tcPr>
          <w:p w14:paraId="699B327B" w14:textId="77777777" w:rsidR="001A4EDA" w:rsidRDefault="00000000">
            <w:r>
              <w:rPr>
                <w:sz w:val="18"/>
              </w:rPr>
              <w:t>PII Cryptographic Authorization Vault</w:t>
            </w:r>
          </w:p>
        </w:tc>
        <w:tc>
          <w:tcPr>
            <w:tcW w:w="3600" w:type="dxa"/>
          </w:tcPr>
          <w:p w14:paraId="01EC7885" w14:textId="77777777" w:rsidR="001A4EDA" w:rsidRDefault="00000000">
            <w:r>
              <w:rPr>
                <w:sz w:val="18"/>
              </w:rPr>
              <w:t>Healthcare extension of ADAM’s Cryptographic Authorization Vault (Privacy Lockbox) using ADAM’s built-in cryptographic ledgering architecture for: consent management, permission enforcement, authorization tracking, regulatory compliance guardrails, and AI action limits.</w:t>
            </w:r>
          </w:p>
        </w:tc>
        <w:tc>
          <w:tcPr>
            <w:tcW w:w="5760" w:type="dxa"/>
          </w:tcPr>
          <w:p w14:paraId="67D84601" w14:textId="77777777" w:rsidR="001A4EDA" w:rsidRDefault="00000000">
            <w:r>
              <w:rPr>
                <w:sz w:val="18"/>
              </w:rPr>
              <w:t>Healthcare consent, permissions, and regulatory constraints must be immutable for audits. Cryptographic ledgering ensures that consent, once granted, cannot be silently modified or retroactively claimed. Every authorization is provable under regulatory scrutiny.</w:t>
            </w:r>
          </w:p>
        </w:tc>
      </w:tr>
      <w:tr w:rsidR="001A4EDA" w14:paraId="19DBBBD5" w14:textId="77777777">
        <w:trPr>
          <w:jc w:val="center"/>
        </w:trPr>
        <w:tc>
          <w:tcPr>
            <w:tcW w:w="2880" w:type="dxa"/>
            <w:shd w:val="clear" w:color="auto" w:fill="F2F5F8"/>
          </w:tcPr>
          <w:p w14:paraId="4D8F4F71" w14:textId="77777777" w:rsidR="001A4EDA" w:rsidRDefault="00000000">
            <w:r>
              <w:rPr>
                <w:sz w:val="18"/>
              </w:rPr>
              <w:t>21 CFR Part 11 Compliance Service</w:t>
            </w:r>
          </w:p>
        </w:tc>
        <w:tc>
          <w:tcPr>
            <w:tcW w:w="3600" w:type="dxa"/>
            <w:shd w:val="clear" w:color="auto" w:fill="F2F5F8"/>
          </w:tcPr>
          <w:p w14:paraId="0DE77DFE" w14:textId="77777777" w:rsidR="001A4EDA" w:rsidRDefault="00000000">
            <w:r>
              <w:rPr>
                <w:sz w:val="18"/>
              </w:rPr>
              <w:t>Ensures all electronic records and signatures meet FDA requirements: unique signatures, identity verification, legal equivalence certification, tamper-evident audit trails, and signature-record linking.</w:t>
            </w:r>
          </w:p>
        </w:tc>
        <w:tc>
          <w:tcPr>
            <w:tcW w:w="5760" w:type="dxa"/>
            <w:shd w:val="clear" w:color="auto" w:fill="F2F5F8"/>
          </w:tcPr>
          <w:p w14:paraId="04D927E2" w14:textId="77777777" w:rsidR="001A4EDA" w:rsidRDefault="00000000">
            <w:r>
              <w:rPr>
                <w:sz w:val="18"/>
              </w:rPr>
              <w:t>FDA-regulated organizations must prove that electronic records are trustworthy, reliable, and equivalent to paper records. ADAM’s Flight Recorder provides the tamper-evident audit trail; this service extends it with Part 11-specific evidence schemas.</w:t>
            </w:r>
          </w:p>
        </w:tc>
      </w:tr>
      <w:tr w:rsidR="001A4EDA" w14:paraId="1FD065D7" w14:textId="77777777">
        <w:trPr>
          <w:jc w:val="center"/>
        </w:trPr>
        <w:tc>
          <w:tcPr>
            <w:tcW w:w="2880" w:type="dxa"/>
          </w:tcPr>
          <w:p w14:paraId="1DC18CBC" w14:textId="77777777" w:rsidR="001A4EDA" w:rsidRDefault="00000000">
            <w:r>
              <w:rPr>
                <w:sz w:val="18"/>
              </w:rPr>
              <w:lastRenderedPageBreak/>
              <w:t>GxP Quality Management Service</w:t>
            </w:r>
          </w:p>
        </w:tc>
        <w:tc>
          <w:tcPr>
            <w:tcW w:w="3600" w:type="dxa"/>
          </w:tcPr>
          <w:p w14:paraId="2540BE2C" w14:textId="77777777" w:rsidR="001A4EDA" w:rsidRDefault="00000000">
            <w:r>
              <w:rPr>
                <w:sz w:val="18"/>
              </w:rPr>
              <w:t>Enforces Good Manufacturing Practice (GMP), Good Laboratory Practice (GLP), Good Clinical Practice (GCP), and Good Distribution Practice (GDP) across all pharmaceutical operations.</w:t>
            </w:r>
          </w:p>
        </w:tc>
        <w:tc>
          <w:tcPr>
            <w:tcW w:w="5760" w:type="dxa"/>
          </w:tcPr>
          <w:p w14:paraId="3FCC6877" w14:textId="77777777" w:rsidR="001A4EDA" w:rsidRDefault="00000000">
            <w:r>
              <w:rPr>
                <w:sz w:val="18"/>
              </w:rPr>
              <w:t>GxP compliance is non-negotiable in pharma. Deviations can result in facility shutdowns, product recalls, and criminal prosecution. Automated enforcement with real-time deviation detection is the only path to continuous compliance at scale.</w:t>
            </w:r>
          </w:p>
        </w:tc>
      </w:tr>
      <w:tr w:rsidR="001A4EDA" w14:paraId="202C4387" w14:textId="77777777">
        <w:trPr>
          <w:jc w:val="center"/>
        </w:trPr>
        <w:tc>
          <w:tcPr>
            <w:tcW w:w="2880" w:type="dxa"/>
            <w:shd w:val="clear" w:color="auto" w:fill="F2F5F8"/>
          </w:tcPr>
          <w:p w14:paraId="18DF9CF5" w14:textId="77777777" w:rsidR="001A4EDA" w:rsidRDefault="00000000">
            <w:r>
              <w:rPr>
                <w:sz w:val="18"/>
              </w:rPr>
              <w:t>Quantum-Safe Cryptographic Migration Service</w:t>
            </w:r>
          </w:p>
        </w:tc>
        <w:tc>
          <w:tcPr>
            <w:tcW w:w="3600" w:type="dxa"/>
            <w:shd w:val="clear" w:color="auto" w:fill="F2F5F8"/>
          </w:tcPr>
          <w:p w14:paraId="55953127" w14:textId="77777777" w:rsidR="001A4EDA" w:rsidRDefault="00000000">
            <w:r>
              <w:rPr>
                <w:sz w:val="18"/>
              </w:rPr>
              <w:t>Manages the enterprise-wide transition from classical to quantum-safe cryptography per NIST FIPS 203/204/205. Implements crypto-agility architecture and hybrid encryption during transition.</w:t>
            </w:r>
          </w:p>
        </w:tc>
        <w:tc>
          <w:tcPr>
            <w:tcW w:w="5760" w:type="dxa"/>
            <w:shd w:val="clear" w:color="auto" w:fill="F2F5F8"/>
          </w:tcPr>
          <w:p w14:paraId="578B9050" w14:textId="77777777" w:rsidR="001A4EDA" w:rsidRDefault="00000000">
            <w:r>
              <w:rPr>
                <w:sz w:val="18"/>
              </w:rPr>
              <w:t>Healthcare data sensitivity extends decades. Patient records, genomic data, and clinical trial results encrypted today must survive quantum attacks. The migration must be governed, tracked, and evidenced—not left to ad hoc engineering projects.</w:t>
            </w:r>
          </w:p>
        </w:tc>
      </w:tr>
      <w:tr w:rsidR="001A4EDA" w14:paraId="0468613F" w14:textId="77777777">
        <w:trPr>
          <w:jc w:val="center"/>
        </w:trPr>
        <w:tc>
          <w:tcPr>
            <w:tcW w:w="2880" w:type="dxa"/>
          </w:tcPr>
          <w:p w14:paraId="5D274C30" w14:textId="77777777" w:rsidR="001A4EDA" w:rsidRDefault="00000000">
            <w:r>
              <w:rPr>
                <w:sz w:val="18"/>
              </w:rPr>
              <w:t>HITRUST CSF Continuous Assessment Service</w:t>
            </w:r>
          </w:p>
        </w:tc>
        <w:tc>
          <w:tcPr>
            <w:tcW w:w="3600" w:type="dxa"/>
          </w:tcPr>
          <w:p w14:paraId="47A2A57A" w14:textId="77777777" w:rsidR="001A4EDA" w:rsidRDefault="00000000">
            <w:r>
              <w:rPr>
                <w:sz w:val="18"/>
              </w:rPr>
              <w:t>Automated continuous assessment against HITRUST CSF (14 control categories, 49 control objectives, 156 control references). Maps ADAM governance controls to HITRUST requirements for certification readiness.</w:t>
            </w:r>
          </w:p>
        </w:tc>
        <w:tc>
          <w:tcPr>
            <w:tcW w:w="5760" w:type="dxa"/>
          </w:tcPr>
          <w:p w14:paraId="45B32392" w14:textId="77777777" w:rsidR="001A4EDA" w:rsidRDefault="00000000">
            <w:r>
              <w:rPr>
                <w:sz w:val="18"/>
              </w:rPr>
              <w:t>HITRUST certification is increasingly required by healthcare payers and partners. Continuous assessment (not annual point-in-time) aligns with ADAM’s continuous governance model and reduces certification burden.</w:t>
            </w:r>
          </w:p>
        </w:tc>
      </w:tr>
    </w:tbl>
    <w:p w14:paraId="3367731F" w14:textId="77777777" w:rsidR="001A4EDA" w:rsidRDefault="001A4EDA"/>
    <w:p w14:paraId="22B83FCF" w14:textId="77777777" w:rsidR="001A4EDA" w:rsidRDefault="00000000">
      <w:r>
        <w:t>These services reflect a fundamental principle of healthcare ADAM deployments: compliance is not a periodic activity—it is a continuous, runtime-enforced architectural property. HIPAA is not something you check once a year. GxP is not something you audit quarterly. In ADAM, these compliance requirements are encoded as policy constraints that execute at every agent action, every data access, every clinical recommendation. The Flight Recorder captures the evidence. The Cryptographic Authorization Vault provid</w:t>
      </w:r>
      <w:r>
        <w:t>es the authorization proof. The BOSS score quantifies the risk. Compliance becomes a property of the system, not a property of the audit schedule.</w:t>
      </w:r>
    </w:p>
    <w:p w14:paraId="1174AFFC" w14:textId="77777777" w:rsidR="001A4EDA" w:rsidRDefault="00000000">
      <w:pPr>
        <w:pStyle w:val="Heading2"/>
      </w:pPr>
      <w:bookmarkStart w:id="18" w:name="_Toc227587139"/>
      <w:r>
        <w:t>III.4 Healthcare Architecture Differences from Core ADAM</w:t>
      </w:r>
      <w:bookmarkEnd w:id="18"/>
    </w:p>
    <w:p w14:paraId="44900A79" w14:textId="77777777" w:rsidR="001A4EDA" w:rsidRDefault="00000000">
      <w:r>
        <w:rPr>
          <w:b/>
          <w:sz w:val="24"/>
        </w:rPr>
        <w:t>Zero-fail environments require zero-trust architectures.</w:t>
      </w:r>
    </w:p>
    <w:p w14:paraId="64EE9913" w14:textId="77777777" w:rsidR="001A4EDA" w:rsidRDefault="00000000">
      <w:r>
        <w:t>Healthcare deployments demand the most aggressive modifications to ADAM’s reference architecture. Where media extends the interoperability plane and manufacturing extends the edge deployment model, healthcare extends nearly every layer—because the regulatory requirements, data sensitivity, and consequence profile of healthcare exceed every other industry ADAM serves.</w:t>
      </w:r>
    </w:p>
    <w:tbl>
      <w:tblPr>
        <w:tblStyle w:val="TableGrid"/>
        <w:tblW w:w="0" w:type="auto"/>
        <w:jc w:val="center"/>
        <w:tblLook w:val="04A0" w:firstRow="1" w:lastRow="0" w:firstColumn="1" w:lastColumn="0" w:noHBand="0" w:noVBand="1"/>
      </w:tblPr>
      <w:tblGrid>
        <w:gridCol w:w="1740"/>
        <w:gridCol w:w="1872"/>
        <w:gridCol w:w="3028"/>
        <w:gridCol w:w="2710"/>
      </w:tblGrid>
      <w:tr w:rsidR="001A4EDA" w14:paraId="45A363C2" w14:textId="77777777">
        <w:trPr>
          <w:jc w:val="center"/>
        </w:trPr>
        <w:tc>
          <w:tcPr>
            <w:tcW w:w="1872" w:type="dxa"/>
            <w:shd w:val="clear" w:color="auto" w:fill="1F3A5F"/>
          </w:tcPr>
          <w:p w14:paraId="307354EE" w14:textId="77777777" w:rsidR="001A4EDA" w:rsidRDefault="00000000">
            <w:r>
              <w:rPr>
                <w:b/>
                <w:color w:val="FFFFFF"/>
                <w:sz w:val="20"/>
              </w:rPr>
              <w:t>Architecture Layer</w:t>
            </w:r>
          </w:p>
        </w:tc>
        <w:tc>
          <w:tcPr>
            <w:tcW w:w="2160" w:type="dxa"/>
            <w:shd w:val="clear" w:color="auto" w:fill="1F3A5F"/>
          </w:tcPr>
          <w:p w14:paraId="538DFEEF" w14:textId="77777777" w:rsidR="001A4EDA" w:rsidRDefault="00000000">
            <w:r>
              <w:rPr>
                <w:b/>
                <w:color w:val="FFFFFF"/>
                <w:sz w:val="20"/>
              </w:rPr>
              <w:t>Core ADAM</w:t>
            </w:r>
          </w:p>
        </w:tc>
        <w:tc>
          <w:tcPr>
            <w:tcW w:w="3600" w:type="dxa"/>
            <w:shd w:val="clear" w:color="auto" w:fill="1F3A5F"/>
          </w:tcPr>
          <w:p w14:paraId="0979F3D0" w14:textId="77777777" w:rsidR="001A4EDA" w:rsidRDefault="00000000">
            <w:r>
              <w:rPr>
                <w:b/>
                <w:color w:val="FFFFFF"/>
                <w:sz w:val="20"/>
              </w:rPr>
              <w:t>Healthcare-Specific Modification</w:t>
            </w:r>
          </w:p>
        </w:tc>
        <w:tc>
          <w:tcPr>
            <w:tcW w:w="3168" w:type="dxa"/>
            <w:shd w:val="clear" w:color="auto" w:fill="1F3A5F"/>
          </w:tcPr>
          <w:p w14:paraId="268B3600" w14:textId="77777777" w:rsidR="001A4EDA" w:rsidRDefault="00000000">
            <w:r>
              <w:rPr>
                <w:b/>
                <w:color w:val="FFFFFF"/>
                <w:sz w:val="20"/>
              </w:rPr>
              <w:t>Rationale</w:t>
            </w:r>
          </w:p>
        </w:tc>
      </w:tr>
      <w:tr w:rsidR="001A4EDA" w14:paraId="21C7C020" w14:textId="77777777">
        <w:trPr>
          <w:jc w:val="center"/>
        </w:trPr>
        <w:tc>
          <w:tcPr>
            <w:tcW w:w="1872" w:type="dxa"/>
          </w:tcPr>
          <w:p w14:paraId="2836E770" w14:textId="77777777" w:rsidR="001A4EDA" w:rsidRDefault="00000000">
            <w:r>
              <w:rPr>
                <w:sz w:val="18"/>
              </w:rPr>
              <w:t>Security &amp; Trust Plane</w:t>
            </w:r>
          </w:p>
        </w:tc>
        <w:tc>
          <w:tcPr>
            <w:tcW w:w="2160" w:type="dxa"/>
          </w:tcPr>
          <w:p w14:paraId="5D5984FC" w14:textId="1014EEFC" w:rsidR="001A4EDA" w:rsidRDefault="00000000">
            <w:r>
              <w:rPr>
                <w:sz w:val="18"/>
              </w:rPr>
              <w:t xml:space="preserve">Standard </w:t>
            </w:r>
            <w:r w:rsidR="00430777">
              <w:rPr>
                <w:sz w:val="18"/>
              </w:rPr>
              <w:t>AGT</w:t>
            </w:r>
            <w:r>
              <w:rPr>
                <w:sz w:val="18"/>
              </w:rPr>
              <w:t xml:space="preserve"> integration</w:t>
            </w:r>
          </w:p>
        </w:tc>
        <w:tc>
          <w:tcPr>
            <w:tcW w:w="3600" w:type="dxa"/>
          </w:tcPr>
          <w:p w14:paraId="4E4F9475" w14:textId="77777777" w:rsidR="001A4EDA" w:rsidRDefault="00000000">
            <w:r>
              <w:rPr>
                <w:sz w:val="18"/>
              </w:rPr>
              <w:t xml:space="preserve">Zero Trust Architecture per NIST SP 800-207 as baseline (not option). Micro-segmentation for clinical, financial, and administrative networks. ABAC (Attribute-Based Access Control) replacing RBAC for </w:t>
            </w:r>
            <w:r>
              <w:rPr>
                <w:sz w:val="18"/>
              </w:rPr>
              <w:lastRenderedPageBreak/>
              <w:t xml:space="preserve">patient data. </w:t>
            </w:r>
            <w:r w:rsidRPr="00BE583F">
              <w:rPr>
                <w:b/>
                <w:bCs/>
                <w:sz w:val="18"/>
              </w:rPr>
              <w:t>Quantum-safe cryptography migration path.</w:t>
            </w:r>
          </w:p>
        </w:tc>
        <w:tc>
          <w:tcPr>
            <w:tcW w:w="3168" w:type="dxa"/>
          </w:tcPr>
          <w:p w14:paraId="5DFF2F55" w14:textId="77777777" w:rsidR="001A4EDA" w:rsidRDefault="00000000">
            <w:r>
              <w:rPr>
                <w:sz w:val="18"/>
              </w:rPr>
              <w:lastRenderedPageBreak/>
              <w:t xml:space="preserve">Healthcare data sensitivity demands maximum security posture. The 2026 HIPAA Security Rule mandates network segmentation and encryption. Zero Trust is the only architecture </w:t>
            </w:r>
            <w:r>
              <w:rPr>
                <w:sz w:val="18"/>
              </w:rPr>
              <w:lastRenderedPageBreak/>
              <w:t>that satisfies HIPAA, HITRUST, and NIST requirements simultaneously.</w:t>
            </w:r>
          </w:p>
        </w:tc>
      </w:tr>
      <w:tr w:rsidR="001A4EDA" w14:paraId="6657595F" w14:textId="77777777">
        <w:trPr>
          <w:jc w:val="center"/>
        </w:trPr>
        <w:tc>
          <w:tcPr>
            <w:tcW w:w="1872" w:type="dxa"/>
            <w:shd w:val="clear" w:color="auto" w:fill="F2F5F8"/>
          </w:tcPr>
          <w:p w14:paraId="072242DA" w14:textId="77777777" w:rsidR="001A4EDA" w:rsidRDefault="00000000">
            <w:r>
              <w:rPr>
                <w:sz w:val="18"/>
              </w:rPr>
              <w:lastRenderedPageBreak/>
              <w:t>Evidence &amp; Audit Plane</w:t>
            </w:r>
          </w:p>
        </w:tc>
        <w:tc>
          <w:tcPr>
            <w:tcW w:w="2160" w:type="dxa"/>
            <w:shd w:val="clear" w:color="auto" w:fill="F2F5F8"/>
          </w:tcPr>
          <w:p w14:paraId="486B53A7" w14:textId="77777777" w:rsidR="001A4EDA" w:rsidRDefault="00000000">
            <w:r>
              <w:rPr>
                <w:sz w:val="18"/>
              </w:rPr>
              <w:t>Standard Flight Recorder</w:t>
            </w:r>
          </w:p>
        </w:tc>
        <w:tc>
          <w:tcPr>
            <w:tcW w:w="3600" w:type="dxa"/>
            <w:shd w:val="clear" w:color="auto" w:fill="F2F5F8"/>
          </w:tcPr>
          <w:p w14:paraId="5874F8D2" w14:textId="77777777" w:rsidR="001A4EDA" w:rsidRDefault="00000000">
            <w:r>
              <w:rPr>
                <w:sz w:val="18"/>
              </w:rPr>
              <w:t>Extended with 21 CFR Part 11 compliance schemas, GxP audit trail requirements, clinical trial evidence bundles, and regulatory submission evidence packages. 7-year WORM retention extended to 25 years for clinical trial data.</w:t>
            </w:r>
          </w:p>
        </w:tc>
        <w:tc>
          <w:tcPr>
            <w:tcW w:w="3168" w:type="dxa"/>
            <w:shd w:val="clear" w:color="auto" w:fill="F2F5F8"/>
          </w:tcPr>
          <w:p w14:paraId="1A7A7140" w14:textId="77777777" w:rsidR="001A4EDA" w:rsidRDefault="00000000">
            <w:r>
              <w:rPr>
                <w:sz w:val="18"/>
              </w:rPr>
              <w:t>Healthcare evidence requirements exceed general enterprise needs. FDA, EMA, and other regulators require specific evidence formats, retention periods, and integrity proofs that the standard Flight Recorder must be extended to provide.</w:t>
            </w:r>
          </w:p>
        </w:tc>
      </w:tr>
      <w:tr w:rsidR="001A4EDA" w14:paraId="53DA8424" w14:textId="77777777">
        <w:trPr>
          <w:jc w:val="center"/>
        </w:trPr>
        <w:tc>
          <w:tcPr>
            <w:tcW w:w="1872" w:type="dxa"/>
          </w:tcPr>
          <w:p w14:paraId="400C8966" w14:textId="77777777" w:rsidR="001A4EDA" w:rsidRDefault="00000000">
            <w:r>
              <w:rPr>
                <w:sz w:val="18"/>
              </w:rPr>
              <w:t>Policy &amp; Risk Plane</w:t>
            </w:r>
          </w:p>
        </w:tc>
        <w:tc>
          <w:tcPr>
            <w:tcW w:w="2160" w:type="dxa"/>
          </w:tcPr>
          <w:p w14:paraId="3BFFD982" w14:textId="77777777" w:rsidR="001A4EDA" w:rsidRDefault="00000000">
            <w:r>
              <w:rPr>
                <w:sz w:val="18"/>
              </w:rPr>
              <w:t>Generic policy engine</w:t>
            </w:r>
          </w:p>
        </w:tc>
        <w:tc>
          <w:tcPr>
            <w:tcW w:w="3600" w:type="dxa"/>
          </w:tcPr>
          <w:p w14:paraId="614826B1" w14:textId="77777777" w:rsidR="001A4EDA" w:rsidRDefault="00000000">
            <w:r>
              <w:rPr>
                <w:sz w:val="18"/>
              </w:rPr>
              <w:t>Extended with HIPAA policy enforcement, FDA SaMD pre-market and post-market policies, clinical protocol adherence policies, GxP deviation detection policies, and jurisdiction-specific patient privacy policies.</w:t>
            </w:r>
          </w:p>
        </w:tc>
        <w:tc>
          <w:tcPr>
            <w:tcW w:w="3168" w:type="dxa"/>
          </w:tcPr>
          <w:p w14:paraId="280145AB" w14:textId="77777777" w:rsidR="001A4EDA" w:rsidRDefault="00000000">
            <w:r>
              <w:rPr>
                <w:sz w:val="18"/>
              </w:rPr>
              <w:t>Healthcare policy is multi-layered: federal (HIPAA, FDA), state (privacy laws), international (GDPR, PIPL, EU MDR), and institutional (IRB, clinical protocols). ADAM’s policy engine must enforce all layers simultaneously.</w:t>
            </w:r>
          </w:p>
        </w:tc>
      </w:tr>
      <w:tr w:rsidR="001A4EDA" w14:paraId="2B4D467A" w14:textId="77777777">
        <w:trPr>
          <w:jc w:val="center"/>
        </w:trPr>
        <w:tc>
          <w:tcPr>
            <w:tcW w:w="1872" w:type="dxa"/>
            <w:shd w:val="clear" w:color="auto" w:fill="F2F5F8"/>
          </w:tcPr>
          <w:p w14:paraId="010C3CD0" w14:textId="77777777" w:rsidR="001A4EDA" w:rsidRDefault="00000000">
            <w:r>
              <w:rPr>
                <w:sz w:val="18"/>
              </w:rPr>
              <w:t>Interoperability Plane</w:t>
            </w:r>
          </w:p>
        </w:tc>
        <w:tc>
          <w:tcPr>
            <w:tcW w:w="2160" w:type="dxa"/>
            <w:shd w:val="clear" w:color="auto" w:fill="F2F5F8"/>
          </w:tcPr>
          <w:p w14:paraId="4D85A1F9" w14:textId="77777777" w:rsidR="001A4EDA" w:rsidRDefault="00000000">
            <w:r>
              <w:rPr>
                <w:sz w:val="18"/>
              </w:rPr>
              <w:t>Generic MCP/A2A integration</w:t>
            </w:r>
          </w:p>
        </w:tc>
        <w:tc>
          <w:tcPr>
            <w:tcW w:w="3600" w:type="dxa"/>
            <w:shd w:val="clear" w:color="auto" w:fill="F2F5F8"/>
          </w:tcPr>
          <w:p w14:paraId="1AA39FF5" w14:textId="77777777" w:rsidR="001A4EDA" w:rsidRDefault="00000000">
            <w:r>
              <w:rPr>
                <w:sz w:val="18"/>
              </w:rPr>
              <w:t>HL7 FHIR R4/R5 RESTful APIs as primary interoperability standard. SMART on FHIR authorization. CDISC clinical data standards. IHE integration profiles.</w:t>
            </w:r>
          </w:p>
        </w:tc>
        <w:tc>
          <w:tcPr>
            <w:tcW w:w="3168" w:type="dxa"/>
            <w:shd w:val="clear" w:color="auto" w:fill="F2F5F8"/>
          </w:tcPr>
          <w:p w14:paraId="123C386C" w14:textId="77777777" w:rsidR="001A4EDA" w:rsidRDefault="00000000">
            <w:r>
              <w:rPr>
                <w:sz w:val="18"/>
              </w:rPr>
              <w:t>Healthcare interoperability is standardized on FHIR by regulation and industry consensus. ADAM must consume and produce FHIR resources natively.</w:t>
            </w:r>
          </w:p>
        </w:tc>
      </w:tr>
      <w:tr w:rsidR="001A4EDA" w14:paraId="2F63FFCF" w14:textId="77777777">
        <w:trPr>
          <w:jc w:val="center"/>
        </w:trPr>
        <w:tc>
          <w:tcPr>
            <w:tcW w:w="1872" w:type="dxa"/>
          </w:tcPr>
          <w:p w14:paraId="4E95757C" w14:textId="77777777" w:rsidR="001A4EDA" w:rsidRDefault="00000000">
            <w:r>
              <w:rPr>
                <w:sz w:val="18"/>
              </w:rPr>
              <w:t>Cryptographic Authorization Vault</w:t>
            </w:r>
          </w:p>
        </w:tc>
        <w:tc>
          <w:tcPr>
            <w:tcW w:w="2160" w:type="dxa"/>
          </w:tcPr>
          <w:p w14:paraId="56C8F49B" w14:textId="77777777" w:rsidR="001A4EDA" w:rsidRDefault="00000000">
            <w:r>
              <w:rPr>
                <w:sz w:val="18"/>
              </w:rPr>
              <w:t>General-purpose vault</w:t>
            </w:r>
          </w:p>
        </w:tc>
        <w:tc>
          <w:tcPr>
            <w:tcW w:w="3600" w:type="dxa"/>
          </w:tcPr>
          <w:p w14:paraId="765CC0FC" w14:textId="77777777" w:rsidR="001A4EDA" w:rsidRDefault="00000000">
            <w:r>
              <w:rPr>
                <w:sz w:val="18"/>
              </w:rPr>
              <w:t>Extended with healthcare-specific cryptographic ledgering patterns for immutable consent management, permission enforcement, and regulatory authorization tracking. Quantum-safe signature migration.</w:t>
            </w:r>
          </w:p>
        </w:tc>
        <w:tc>
          <w:tcPr>
            <w:tcW w:w="3168" w:type="dxa"/>
          </w:tcPr>
          <w:p w14:paraId="5F648C37" w14:textId="77777777" w:rsidR="001A4EDA" w:rsidRDefault="00000000">
            <w:r>
              <w:rPr>
                <w:sz w:val="18"/>
              </w:rPr>
              <w:t>Healthcare authorization must be immutable for audits, legally defensible, and quantum-resistant. ADAM’s built-in cryptographic ledgering provides the mathematical certainty that healthcare regulators and courts demand.</w:t>
            </w:r>
          </w:p>
        </w:tc>
      </w:tr>
    </w:tbl>
    <w:p w14:paraId="2A597C45" w14:textId="77777777" w:rsidR="001A4EDA" w:rsidRDefault="001A4EDA"/>
    <w:p w14:paraId="46013543" w14:textId="77777777" w:rsidR="001A4EDA" w:rsidRDefault="00000000">
      <w:r>
        <w:t>The architecture differences above are not optional enhancements—they are regulatory mandates. A healthcare ADAM deployment without Zero Trust violates the 2026 HIPAA Security Rule. Without 21 CFR Part 11 evidence schemas, the Flight Recorder cannot satisfy FDA requirements. Without FHIR interoperability, ADAM cannot integrate with the clinical systems it must govern. These are not design choices; they are compliance requirements encoded as architecture.</w:t>
      </w:r>
    </w:p>
    <w:tbl>
      <w:tblPr>
        <w:tblW w:w="0" w:type="auto"/>
        <w:jc w:val="center"/>
        <w:tblLook w:val="04A0" w:firstRow="1" w:lastRow="0" w:firstColumn="1" w:lastColumn="0" w:noHBand="0" w:noVBand="1"/>
      </w:tblPr>
      <w:tblGrid>
        <w:gridCol w:w="9360"/>
      </w:tblGrid>
      <w:tr w:rsidR="001A4EDA" w14:paraId="7DB4CB17" w14:textId="77777777">
        <w:trPr>
          <w:jc w:val="center"/>
        </w:trPr>
        <w:tc>
          <w:tcPr>
            <w:tcW w:w="9360" w:type="dxa"/>
            <w:shd w:val="clear" w:color="auto" w:fill="FFF3E0"/>
          </w:tcPr>
          <w:p w14:paraId="37652F25" w14:textId="77777777" w:rsidR="001A4EDA" w:rsidRDefault="00000000">
            <w:r>
              <w:rPr>
                <w:b/>
                <w:color w:val="8B5E00"/>
              </w:rPr>
              <w:t>SCENARIO: NetHealthX — HIPAA Breach Response in 47 Minutes</w:t>
            </w:r>
          </w:p>
          <w:p w14:paraId="3FCE762F" w14:textId="77777777" w:rsidR="001A4EDA" w:rsidRDefault="00000000">
            <w:r>
              <w:rPr>
                <w:sz w:val="20"/>
              </w:rPr>
              <w:t>At 2:14 AM on a Tuesday, ADAM’s Patient Data Privacy Enforcement Agent detects anomalous access patterns: a workstation in the radiology department at Hospital 4 is querying patient records at 15x the normal rate, including records for patients not currently admitted to that facility. The access is authenticated—the credentials are valid—but the behavior pattern is inconsistent with normal clinical workflow.</w:t>
            </w:r>
          </w:p>
          <w:p w14:paraId="6E98B772" w14:textId="77777777" w:rsidR="001A4EDA" w:rsidRDefault="00000000">
            <w:r>
              <w:rPr>
                <w:sz w:val="20"/>
              </w:rPr>
              <w:t>BOSS Security Impact score: 78 (OHSHAT tier). Automatic containment activates: the workstation is isolated from patient data systems. The CISO receives an immediate escalation with full forensic context: access logs, query patterns, credential verification, and patient record inventory. The CEO is notified as required by OHSHAT-level protocol.</w:t>
            </w:r>
          </w:p>
          <w:p w14:paraId="73C29077" w14:textId="77777777" w:rsidR="001A4EDA" w:rsidRDefault="00000000">
            <w:r>
              <w:rPr>
                <w:sz w:val="20"/>
              </w:rPr>
              <w:lastRenderedPageBreak/>
              <w:t>The HIPAA Compliance Enforcement Engine initiates breach assessment: 847 patient records were accessed during the anomalous session. Breach notification timelines are calculated. The Flight Recorder has captured every query, every access, every response—providing the forensic evidence that the HHS Office for Civil Rights investigation will require.</w:t>
            </w:r>
          </w:p>
          <w:p w14:paraId="0A2D0F68" w14:textId="77777777" w:rsidR="001A4EDA" w:rsidRDefault="00000000">
            <w:r>
              <w:rPr>
                <w:sz w:val="20"/>
              </w:rPr>
              <w:t>Total time from detection to containment: 47 minutes. Total time from detection to CISO notification: 3 minutes. Evidence package complete: 12 minutes. The 72-hour discovery clock for breach notification starts with full documentation already in place.</w:t>
            </w:r>
          </w:p>
        </w:tc>
      </w:tr>
    </w:tbl>
    <w:p w14:paraId="1BE0280B" w14:textId="77777777" w:rsidR="001A4EDA" w:rsidRDefault="001A4EDA"/>
    <w:p w14:paraId="016CFD0D" w14:textId="21E99D11" w:rsidR="001A4EDA" w:rsidRDefault="00000000">
      <w:pPr>
        <w:pStyle w:val="Heading2"/>
      </w:pPr>
      <w:bookmarkStart w:id="19" w:name="_Toc227587140"/>
      <w:r>
        <w:t xml:space="preserve">III.5 Healthcare Security: </w:t>
      </w:r>
      <w:r w:rsidR="00430777">
        <w:t>AGT</w:t>
      </w:r>
      <w:r>
        <w:t xml:space="preserve"> Integration and Quantum Readiness</w:t>
      </w:r>
      <w:bookmarkEnd w:id="19"/>
    </w:p>
    <w:p w14:paraId="4D348109" w14:textId="77777777" w:rsidR="001A4EDA" w:rsidRDefault="00000000">
      <w:r>
        <w:rPr>
          <w:b/>
          <w:sz w:val="24"/>
        </w:rPr>
        <w:t>Patient data is not just sensitive. It is a clinical safety dependency.</w:t>
      </w:r>
    </w:p>
    <w:p w14:paraId="724721A4" w14:textId="77777777" w:rsidR="001A4EDA" w:rsidRDefault="00000000">
      <w:r>
        <w:t>Healthcare security extends beyond data protection into clinical safety territory. Compromised patient data does not just create regulatory exposure—it can lead to incorrect treatment decisions, misidentified patients, and medication errors. The security model for healthcare ADAM deployments reflects this dual mandate: protect the data AND protect the patients whose care depends on the integrity of that data.</w:t>
      </w:r>
    </w:p>
    <w:tbl>
      <w:tblPr>
        <w:tblStyle w:val="TableGrid"/>
        <w:tblW w:w="0" w:type="auto"/>
        <w:jc w:val="center"/>
        <w:tblLook w:val="04A0" w:firstRow="1" w:lastRow="0" w:firstColumn="1" w:lastColumn="0" w:noHBand="0" w:noVBand="1"/>
      </w:tblPr>
      <w:tblGrid>
        <w:gridCol w:w="1693"/>
        <w:gridCol w:w="1881"/>
        <w:gridCol w:w="3047"/>
        <w:gridCol w:w="2729"/>
      </w:tblGrid>
      <w:tr w:rsidR="001A4EDA" w14:paraId="0EE89EB2" w14:textId="77777777">
        <w:trPr>
          <w:jc w:val="center"/>
        </w:trPr>
        <w:tc>
          <w:tcPr>
            <w:tcW w:w="1872" w:type="dxa"/>
            <w:shd w:val="clear" w:color="auto" w:fill="1F3A5F"/>
          </w:tcPr>
          <w:p w14:paraId="2DE2810C" w14:textId="77777777" w:rsidR="001A4EDA" w:rsidRDefault="00000000">
            <w:r>
              <w:rPr>
                <w:b/>
                <w:color w:val="FFFFFF"/>
                <w:sz w:val="20"/>
              </w:rPr>
              <w:t>Security Domain</w:t>
            </w:r>
          </w:p>
        </w:tc>
        <w:tc>
          <w:tcPr>
            <w:tcW w:w="2160" w:type="dxa"/>
            <w:shd w:val="clear" w:color="auto" w:fill="1F3A5F"/>
          </w:tcPr>
          <w:p w14:paraId="657D758F" w14:textId="590CD558" w:rsidR="001A4EDA" w:rsidRDefault="00000000">
            <w:r>
              <w:rPr>
                <w:b/>
                <w:color w:val="FFFFFF"/>
                <w:sz w:val="20"/>
              </w:rPr>
              <w:t xml:space="preserve">Core ADAM + </w:t>
            </w:r>
            <w:r w:rsidR="00430777">
              <w:rPr>
                <w:b/>
                <w:color w:val="FFFFFF"/>
                <w:sz w:val="20"/>
              </w:rPr>
              <w:t>AGT</w:t>
            </w:r>
          </w:p>
        </w:tc>
        <w:tc>
          <w:tcPr>
            <w:tcW w:w="3600" w:type="dxa"/>
            <w:shd w:val="clear" w:color="auto" w:fill="1F3A5F"/>
          </w:tcPr>
          <w:p w14:paraId="1913E4BD" w14:textId="77777777" w:rsidR="001A4EDA" w:rsidRDefault="00000000">
            <w:r>
              <w:rPr>
                <w:b/>
                <w:color w:val="FFFFFF"/>
                <w:sz w:val="20"/>
              </w:rPr>
              <w:t>Healthcare Extension</w:t>
            </w:r>
          </w:p>
        </w:tc>
        <w:tc>
          <w:tcPr>
            <w:tcW w:w="3168" w:type="dxa"/>
            <w:shd w:val="clear" w:color="auto" w:fill="1F3A5F"/>
          </w:tcPr>
          <w:p w14:paraId="2B3AEED1" w14:textId="2153CCFA" w:rsidR="001A4EDA" w:rsidRDefault="00430777">
            <w:r>
              <w:rPr>
                <w:b/>
                <w:color w:val="FFFFFF"/>
                <w:sz w:val="20"/>
              </w:rPr>
              <w:t>AGT Policy Configuration</w:t>
            </w:r>
          </w:p>
        </w:tc>
      </w:tr>
      <w:tr w:rsidR="001A4EDA" w14:paraId="205CF04C" w14:textId="77777777">
        <w:trPr>
          <w:jc w:val="center"/>
        </w:trPr>
        <w:tc>
          <w:tcPr>
            <w:tcW w:w="1872" w:type="dxa"/>
          </w:tcPr>
          <w:p w14:paraId="0D1CD32E" w14:textId="77777777" w:rsidR="001A4EDA" w:rsidRDefault="00000000">
            <w:r>
              <w:rPr>
                <w:sz w:val="18"/>
              </w:rPr>
              <w:t>Network Architecture</w:t>
            </w:r>
          </w:p>
        </w:tc>
        <w:tc>
          <w:tcPr>
            <w:tcW w:w="2160" w:type="dxa"/>
          </w:tcPr>
          <w:p w14:paraId="25DE4E40" w14:textId="77777777" w:rsidR="001A4EDA" w:rsidRDefault="00000000">
            <w:r>
              <w:rPr>
                <w:sz w:val="18"/>
              </w:rPr>
              <w:t>Standard Zero Trust</w:t>
            </w:r>
          </w:p>
        </w:tc>
        <w:tc>
          <w:tcPr>
            <w:tcW w:w="3600" w:type="dxa"/>
          </w:tcPr>
          <w:p w14:paraId="5C6CAC1D" w14:textId="2B8FDC4D" w:rsidR="001A4EDA" w:rsidRDefault="00000000">
            <w:r>
              <w:rPr>
                <w:sz w:val="18"/>
              </w:rPr>
              <w:t xml:space="preserve">Mandatory micro-segmentation per NIST SP 800-207: clinical networks isolated from administrative. Medical device networks in separate security zones per IEC 62443. All inter-zone traffic </w:t>
            </w:r>
            <w:r w:rsidR="00430777">
              <w:rPr>
                <w:sz w:val="18"/>
              </w:rPr>
              <w:t>AGT</w:t>
            </w:r>
            <w:r>
              <w:rPr>
                <w:sz w:val="18"/>
              </w:rPr>
              <w:t>-policy-gated.</w:t>
            </w:r>
          </w:p>
        </w:tc>
        <w:tc>
          <w:tcPr>
            <w:tcW w:w="3168" w:type="dxa"/>
          </w:tcPr>
          <w:p w14:paraId="5013BD95" w14:textId="1A6DE609" w:rsidR="001A4EDA" w:rsidRDefault="00430777">
            <w:r>
              <w:rPr>
                <w:sz w:val="18"/>
              </w:rPr>
              <w:t>AGT execution rings: Ring 0 for patient data operations, Ring 1 for clinical decision support, Ring 2 for administrative. Cross-ring access requires Cryptographic Authorization Vault consent verification.</w:t>
            </w:r>
          </w:p>
        </w:tc>
      </w:tr>
      <w:tr w:rsidR="001A4EDA" w14:paraId="2CC16EFA" w14:textId="77777777">
        <w:trPr>
          <w:jc w:val="center"/>
        </w:trPr>
        <w:tc>
          <w:tcPr>
            <w:tcW w:w="1872" w:type="dxa"/>
            <w:shd w:val="clear" w:color="auto" w:fill="F2F5F8"/>
          </w:tcPr>
          <w:p w14:paraId="287B4E0E" w14:textId="77777777" w:rsidR="001A4EDA" w:rsidRDefault="00000000">
            <w:r>
              <w:rPr>
                <w:sz w:val="18"/>
              </w:rPr>
              <w:t>Encryption</w:t>
            </w:r>
          </w:p>
        </w:tc>
        <w:tc>
          <w:tcPr>
            <w:tcW w:w="2160" w:type="dxa"/>
            <w:shd w:val="clear" w:color="auto" w:fill="F2F5F8"/>
          </w:tcPr>
          <w:p w14:paraId="1D6E3CA4" w14:textId="77777777" w:rsidR="001A4EDA" w:rsidRDefault="00000000">
            <w:r>
              <w:rPr>
                <w:sz w:val="18"/>
              </w:rPr>
              <w:t>TLS 1.3 + at-rest encryption</w:t>
            </w:r>
          </w:p>
        </w:tc>
        <w:tc>
          <w:tcPr>
            <w:tcW w:w="3600" w:type="dxa"/>
            <w:shd w:val="clear" w:color="auto" w:fill="F2F5F8"/>
          </w:tcPr>
          <w:p w14:paraId="291912FB" w14:textId="77777777" w:rsidR="001A4EDA" w:rsidRDefault="00000000">
            <w:r>
              <w:rPr>
                <w:sz w:val="18"/>
              </w:rPr>
              <w:t>Mandatory end-to-end encryption for all ePHI (HIPAA 2026). Quantum-safe hybrid encryption (classical + FIPS 203 ML-KEM) for data with &gt;10 year sensitivity. HSM-backed key management with FIPS 140-3 validation.</w:t>
            </w:r>
          </w:p>
        </w:tc>
        <w:tc>
          <w:tcPr>
            <w:tcW w:w="3168" w:type="dxa"/>
            <w:shd w:val="clear" w:color="auto" w:fill="F2F5F8"/>
          </w:tcPr>
          <w:p w14:paraId="41F9F1E3" w14:textId="4D3CDF7D" w:rsidR="001A4EDA" w:rsidRDefault="00430777">
            <w:r>
              <w:rPr>
                <w:sz w:val="18"/>
              </w:rPr>
              <w:t>AGT policy: any agent accessing patient data must present valid encryption capability attestation. Unencrypted patient data transmission triggers immediate agent termination (AGT kill switch).</w:t>
            </w:r>
          </w:p>
        </w:tc>
      </w:tr>
      <w:tr w:rsidR="001A4EDA" w14:paraId="6FD34280" w14:textId="77777777">
        <w:trPr>
          <w:jc w:val="center"/>
        </w:trPr>
        <w:tc>
          <w:tcPr>
            <w:tcW w:w="1872" w:type="dxa"/>
          </w:tcPr>
          <w:p w14:paraId="13CB3AAD" w14:textId="77777777" w:rsidR="001A4EDA" w:rsidRDefault="00000000">
            <w:r>
              <w:rPr>
                <w:sz w:val="18"/>
              </w:rPr>
              <w:t>Identity &amp; Access</w:t>
            </w:r>
          </w:p>
        </w:tc>
        <w:tc>
          <w:tcPr>
            <w:tcW w:w="2160" w:type="dxa"/>
          </w:tcPr>
          <w:p w14:paraId="7696A7C1" w14:textId="77777777" w:rsidR="001A4EDA" w:rsidRDefault="00000000">
            <w:r>
              <w:rPr>
                <w:sz w:val="18"/>
              </w:rPr>
              <w:t>DID-based agent identity</w:t>
            </w:r>
          </w:p>
        </w:tc>
        <w:tc>
          <w:tcPr>
            <w:tcW w:w="3600" w:type="dxa"/>
          </w:tcPr>
          <w:p w14:paraId="0CAE9E10" w14:textId="77777777" w:rsidR="001A4EDA" w:rsidRDefault="00000000">
            <w:r>
              <w:rPr>
                <w:sz w:val="18"/>
              </w:rPr>
              <w:t>SMART on FHIR authorization for clinical system access. Patient identity verification with cross-referencing. Healthcare workforce identity with role-based + attribute-based access (ABAC). MFA mandatory per HIPAA 2026.</w:t>
            </w:r>
          </w:p>
        </w:tc>
        <w:tc>
          <w:tcPr>
            <w:tcW w:w="3168" w:type="dxa"/>
          </w:tcPr>
          <w:p w14:paraId="21F28489" w14:textId="1B5DE976" w:rsidR="001A4EDA" w:rsidRDefault="00430777">
            <w:r>
              <w:rPr>
                <w:sz w:val="18"/>
              </w:rPr>
              <w:t>AGT Agent Mesh: healthcare agents carry FHIR-scoped credentials. Trust scores incorporate clinical certification status. Agents accessing restricted data (psychiatric, substance abuse, HIV) require elevated trust threshold.</w:t>
            </w:r>
          </w:p>
        </w:tc>
      </w:tr>
      <w:tr w:rsidR="001A4EDA" w14:paraId="4858717D" w14:textId="77777777">
        <w:trPr>
          <w:jc w:val="center"/>
        </w:trPr>
        <w:tc>
          <w:tcPr>
            <w:tcW w:w="1872" w:type="dxa"/>
            <w:shd w:val="clear" w:color="auto" w:fill="F2F5F8"/>
          </w:tcPr>
          <w:p w14:paraId="16AB1453" w14:textId="77777777" w:rsidR="001A4EDA" w:rsidRDefault="00000000">
            <w:r>
              <w:rPr>
                <w:sz w:val="18"/>
              </w:rPr>
              <w:t>Incident Response</w:t>
            </w:r>
          </w:p>
        </w:tc>
        <w:tc>
          <w:tcPr>
            <w:tcW w:w="2160" w:type="dxa"/>
            <w:shd w:val="clear" w:color="auto" w:fill="F2F5F8"/>
          </w:tcPr>
          <w:p w14:paraId="3C377651" w14:textId="20E38778" w:rsidR="001A4EDA" w:rsidRDefault="00000000">
            <w:r>
              <w:rPr>
                <w:sz w:val="18"/>
              </w:rPr>
              <w:t xml:space="preserve">Standard </w:t>
            </w:r>
            <w:r w:rsidR="00430777">
              <w:rPr>
                <w:sz w:val="18"/>
              </w:rPr>
              <w:t>AGT</w:t>
            </w:r>
            <w:r>
              <w:rPr>
                <w:sz w:val="18"/>
              </w:rPr>
              <w:t xml:space="preserve"> SRE</w:t>
            </w:r>
          </w:p>
        </w:tc>
        <w:tc>
          <w:tcPr>
            <w:tcW w:w="3600" w:type="dxa"/>
            <w:shd w:val="clear" w:color="auto" w:fill="F2F5F8"/>
          </w:tcPr>
          <w:p w14:paraId="36C2C3D0" w14:textId="77777777" w:rsidR="001A4EDA" w:rsidRDefault="00000000">
            <w:r>
              <w:rPr>
                <w:sz w:val="18"/>
              </w:rPr>
              <w:t xml:space="preserve">HIPAA Breach Notification Rule compliance: automated breach assessment, notification generation within 60 days of discovery, and HHS </w:t>
            </w:r>
            <w:r>
              <w:rPr>
                <w:sz w:val="18"/>
              </w:rPr>
              <w:lastRenderedPageBreak/>
              <w:t>OCR reporting. Healthcare-specific incident classification.</w:t>
            </w:r>
          </w:p>
        </w:tc>
        <w:tc>
          <w:tcPr>
            <w:tcW w:w="3168" w:type="dxa"/>
            <w:shd w:val="clear" w:color="auto" w:fill="F2F5F8"/>
          </w:tcPr>
          <w:p w14:paraId="68DED9DA" w14:textId="0D7E682D" w:rsidR="001A4EDA" w:rsidRDefault="00430777">
            <w:r>
              <w:rPr>
                <w:sz w:val="18"/>
              </w:rPr>
              <w:lastRenderedPageBreak/>
              <w:t xml:space="preserve">AGT Agent SRE: healthcare circuit breakers isolate patient data systems on suspected breach. Automatic evidence preservation </w:t>
            </w:r>
            <w:r>
              <w:rPr>
                <w:sz w:val="18"/>
              </w:rPr>
              <w:lastRenderedPageBreak/>
              <w:t>for OCR investigation. Breach notification workflow integrated with Exception Economy.</w:t>
            </w:r>
          </w:p>
        </w:tc>
      </w:tr>
      <w:tr w:rsidR="001A4EDA" w14:paraId="396BB90E" w14:textId="77777777">
        <w:trPr>
          <w:jc w:val="center"/>
        </w:trPr>
        <w:tc>
          <w:tcPr>
            <w:tcW w:w="1872" w:type="dxa"/>
          </w:tcPr>
          <w:p w14:paraId="04069477" w14:textId="77777777" w:rsidR="001A4EDA" w:rsidRDefault="00000000">
            <w:r>
              <w:rPr>
                <w:sz w:val="18"/>
              </w:rPr>
              <w:lastRenderedPageBreak/>
              <w:t>Quantum Security</w:t>
            </w:r>
          </w:p>
        </w:tc>
        <w:tc>
          <w:tcPr>
            <w:tcW w:w="2160" w:type="dxa"/>
          </w:tcPr>
          <w:p w14:paraId="0B7A5AB9" w14:textId="468A6F5C" w:rsidR="001A4EDA" w:rsidRDefault="003F5D04">
            <w:r>
              <w:rPr>
                <w:sz w:val="18"/>
              </w:rPr>
              <w:t>Supported as a plugin service by</w:t>
            </w:r>
            <w:r w:rsidR="00000000">
              <w:rPr>
                <w:sz w:val="18"/>
              </w:rPr>
              <w:t xml:space="preserve"> ADAM</w:t>
            </w:r>
          </w:p>
        </w:tc>
        <w:tc>
          <w:tcPr>
            <w:tcW w:w="3600" w:type="dxa"/>
          </w:tcPr>
          <w:p w14:paraId="6FF7153D" w14:textId="77777777" w:rsidR="001A4EDA" w:rsidRDefault="00000000">
            <w:r>
              <w:rPr>
                <w:sz w:val="18"/>
              </w:rPr>
              <w:t>Quantum-safe cryptography migration per NIST FIPS 203/204/205. Crypto-agility architecture enabling algorithm replacement without system redesign. Quantum threat monitoring and assessment.</w:t>
            </w:r>
          </w:p>
        </w:tc>
        <w:tc>
          <w:tcPr>
            <w:tcW w:w="3168" w:type="dxa"/>
          </w:tcPr>
          <w:p w14:paraId="74F6C18A" w14:textId="55947623" w:rsidR="001A4EDA" w:rsidRDefault="00430777">
            <w:r>
              <w:rPr>
                <w:sz w:val="18"/>
              </w:rPr>
              <w:t>AGT policy: cryptographic operations must support hybrid (classical + PQC) mode. Agent signing transitions to FIPS 204 (ML-DSA). Key encapsulation transitions to FIPS 203 (ML-KEM). Migration progress is a BOSS-tracked governance metric.</w:t>
            </w:r>
          </w:p>
        </w:tc>
      </w:tr>
    </w:tbl>
    <w:p w14:paraId="74A7138B" w14:textId="77777777" w:rsidR="001A4EDA" w:rsidRDefault="001A4EDA"/>
    <w:p w14:paraId="48A5A3F2" w14:textId="77777777" w:rsidR="001A4EDA" w:rsidRDefault="00000000">
      <w:r>
        <w:rPr>
          <w:i/>
          <w:color w:val="2E75B6"/>
          <w:sz w:val="18"/>
        </w:rPr>
        <w:t>Reference: NIST SP 800-207 (Zero Trust Architecture) — https://csrc.nist.gov/pubs/sp/800/207/final</w:t>
      </w:r>
    </w:p>
    <w:p w14:paraId="158F5CD9" w14:textId="77777777" w:rsidR="001A4EDA" w:rsidRDefault="00000000">
      <w:r>
        <w:rPr>
          <w:i/>
          <w:color w:val="2E75B6"/>
          <w:sz w:val="18"/>
        </w:rPr>
        <w:t>Reference: NIST FIPS 203/204/205 (Post-Quantum Cryptography) — https://csrc.nist.gov/projects/post-quantum-cryptography</w:t>
      </w:r>
    </w:p>
    <w:p w14:paraId="37E9B3D2" w14:textId="77777777" w:rsidR="001A4EDA" w:rsidRDefault="00000000">
      <w:r>
        <w:rPr>
          <w:i/>
          <w:color w:val="2E75B6"/>
          <w:sz w:val="18"/>
        </w:rPr>
        <w:t>Reference: HL7 FHIR R5 — https://hl7.org/fhir/</w:t>
      </w:r>
    </w:p>
    <w:p w14:paraId="1BA4419A" w14:textId="77777777" w:rsidR="001A4EDA" w:rsidRDefault="00000000">
      <w:r>
        <w:rPr>
          <w:i/>
          <w:color w:val="2E75B6"/>
          <w:sz w:val="18"/>
        </w:rPr>
        <w:t>Reference: HIPAA 2026 Security Rule — https://www.hhs.gov/hipaa/for-professionals/security/laws-regulations/</w:t>
      </w:r>
    </w:p>
    <w:p w14:paraId="07758146" w14:textId="77777777" w:rsidR="001A4EDA" w:rsidRDefault="00000000">
      <w:r>
        <w:rPr>
          <w:i/>
          <w:color w:val="2E75B6"/>
          <w:sz w:val="18"/>
        </w:rPr>
        <w:t>Reference: FDA AI/ML SaMD Guidance — https://www.fda.gov/medical-devices/software-medical-device-samd/artificial-intelligence-software-medical-device</w:t>
      </w:r>
    </w:p>
    <w:p w14:paraId="41ED031E" w14:textId="77777777" w:rsidR="001A4EDA" w:rsidRDefault="00000000">
      <w:pPr>
        <w:pStyle w:val="Heading2"/>
      </w:pPr>
      <w:bookmarkStart w:id="20" w:name="_Toc227587141"/>
      <w:r>
        <w:t>III.6 Healthcare Competing Frameworks and ADAM’s Position</w:t>
      </w:r>
      <w:bookmarkEnd w:id="20"/>
    </w:p>
    <w:p w14:paraId="3C9D6194" w14:textId="77777777" w:rsidR="001A4EDA" w:rsidRDefault="00000000">
      <w:r>
        <w:rPr>
          <w:b/>
          <w:sz w:val="24"/>
        </w:rPr>
        <w:t>ADAM does not compete with healthcare frameworks. It operationalizes them.</w:t>
      </w:r>
    </w:p>
    <w:p w14:paraId="7CB52FC5" w14:textId="77777777" w:rsidR="001A4EDA" w:rsidRDefault="00000000">
      <w:r>
        <w:t>Healthcare has no shortage of governance frameworks, risk management models, and compliance standards. What it lacks is an architecture that makes them runtime-enforceable rather than periodically auditable. The following table defines ADAM’s relationship with the major healthcare governance frameworks—where ADAM conforms, where it extends, and where it provides capabilities that existing frameworks do not address.</w:t>
      </w:r>
    </w:p>
    <w:tbl>
      <w:tblPr>
        <w:tblStyle w:val="TableGrid"/>
        <w:tblW w:w="0" w:type="auto"/>
        <w:jc w:val="center"/>
        <w:tblLook w:val="04A0" w:firstRow="1" w:lastRow="0" w:firstColumn="1" w:lastColumn="0" w:noHBand="0" w:noVBand="1"/>
      </w:tblPr>
      <w:tblGrid>
        <w:gridCol w:w="2155"/>
        <w:gridCol w:w="3081"/>
        <w:gridCol w:w="4114"/>
      </w:tblGrid>
      <w:tr w:rsidR="001A4EDA" w14:paraId="1521CDAA" w14:textId="77777777">
        <w:trPr>
          <w:jc w:val="center"/>
        </w:trPr>
        <w:tc>
          <w:tcPr>
            <w:tcW w:w="2592" w:type="dxa"/>
            <w:shd w:val="clear" w:color="auto" w:fill="1F3A5F"/>
          </w:tcPr>
          <w:p w14:paraId="4DF6A3EF" w14:textId="77777777" w:rsidR="001A4EDA" w:rsidRDefault="00000000">
            <w:r>
              <w:rPr>
                <w:b/>
                <w:color w:val="FFFFFF"/>
                <w:sz w:val="20"/>
              </w:rPr>
              <w:t>Framework</w:t>
            </w:r>
          </w:p>
        </w:tc>
        <w:tc>
          <w:tcPr>
            <w:tcW w:w="4032" w:type="dxa"/>
            <w:shd w:val="clear" w:color="auto" w:fill="1F3A5F"/>
          </w:tcPr>
          <w:p w14:paraId="09FBDBF9" w14:textId="77777777" w:rsidR="001A4EDA" w:rsidRDefault="00000000">
            <w:r>
              <w:rPr>
                <w:b/>
                <w:color w:val="FFFFFF"/>
                <w:sz w:val="20"/>
              </w:rPr>
              <w:t>What It Provides</w:t>
            </w:r>
          </w:p>
        </w:tc>
        <w:tc>
          <w:tcPr>
            <w:tcW w:w="5616" w:type="dxa"/>
            <w:shd w:val="clear" w:color="auto" w:fill="1F3A5F"/>
          </w:tcPr>
          <w:p w14:paraId="1E329243" w14:textId="77777777" w:rsidR="001A4EDA" w:rsidRDefault="00000000">
            <w:r>
              <w:rPr>
                <w:b/>
                <w:color w:val="FFFFFF"/>
                <w:sz w:val="20"/>
              </w:rPr>
              <w:t>ADAM’s Position</w:t>
            </w:r>
          </w:p>
        </w:tc>
      </w:tr>
      <w:tr w:rsidR="001A4EDA" w14:paraId="77EF261B" w14:textId="77777777">
        <w:trPr>
          <w:jc w:val="center"/>
        </w:trPr>
        <w:tc>
          <w:tcPr>
            <w:tcW w:w="2592" w:type="dxa"/>
          </w:tcPr>
          <w:p w14:paraId="4CDBA482" w14:textId="77777777" w:rsidR="001A4EDA" w:rsidRDefault="00000000">
            <w:r>
              <w:rPr>
                <w:sz w:val="18"/>
              </w:rPr>
              <w:t>HITRUST CSF</w:t>
            </w:r>
          </w:p>
        </w:tc>
        <w:tc>
          <w:tcPr>
            <w:tcW w:w="4032" w:type="dxa"/>
          </w:tcPr>
          <w:p w14:paraId="21430072" w14:textId="77777777" w:rsidR="001A4EDA" w:rsidRDefault="00000000">
            <w:r>
              <w:rPr>
                <w:sz w:val="18"/>
              </w:rPr>
              <w:t>Certifiable framework harmonizing 60+ regulations into 14 control categories, 49 objectives, 156 references. Three certification levels (e1, i1, r2).</w:t>
            </w:r>
          </w:p>
        </w:tc>
        <w:tc>
          <w:tcPr>
            <w:tcW w:w="5616" w:type="dxa"/>
          </w:tcPr>
          <w:p w14:paraId="2274DA80" w14:textId="77777777" w:rsidR="001A4EDA" w:rsidRDefault="00000000">
            <w:r>
              <w:rPr>
                <w:sz w:val="18"/>
              </w:rPr>
              <w:t>ADAM uses in conjunction. HITRUST maps to ADAM’s governance controls. The HITRUST Continuous Assessment Service maps ADAM evidence to HITRUST requirements automatically. ADAM extends HITRUST by making controls runtime-enforced rather than periodically assessed.</w:t>
            </w:r>
          </w:p>
        </w:tc>
      </w:tr>
      <w:tr w:rsidR="001A4EDA" w14:paraId="6BD8CB18" w14:textId="77777777">
        <w:trPr>
          <w:jc w:val="center"/>
        </w:trPr>
        <w:tc>
          <w:tcPr>
            <w:tcW w:w="2592" w:type="dxa"/>
            <w:shd w:val="clear" w:color="auto" w:fill="F2F5F8"/>
          </w:tcPr>
          <w:p w14:paraId="2C95D032" w14:textId="77777777" w:rsidR="001A4EDA" w:rsidRDefault="00000000">
            <w:r>
              <w:rPr>
                <w:sz w:val="18"/>
              </w:rPr>
              <w:t>NIST AI Risk Management Framework (RMF)</w:t>
            </w:r>
          </w:p>
        </w:tc>
        <w:tc>
          <w:tcPr>
            <w:tcW w:w="4032" w:type="dxa"/>
            <w:shd w:val="clear" w:color="auto" w:fill="F2F5F8"/>
          </w:tcPr>
          <w:p w14:paraId="0A60E7B5" w14:textId="77777777" w:rsidR="001A4EDA" w:rsidRDefault="00000000">
            <w:r>
              <w:rPr>
                <w:sz w:val="18"/>
              </w:rPr>
              <w:t>Voluntary guidance for AI trustworthiness throughout lifecycle: design, development, evaluation, use.</w:t>
            </w:r>
          </w:p>
        </w:tc>
        <w:tc>
          <w:tcPr>
            <w:tcW w:w="5616" w:type="dxa"/>
            <w:shd w:val="clear" w:color="auto" w:fill="F2F5F8"/>
          </w:tcPr>
          <w:p w14:paraId="42A5C08D" w14:textId="77777777" w:rsidR="001A4EDA" w:rsidRDefault="00000000">
            <w:r>
              <w:rPr>
                <w:sz w:val="18"/>
              </w:rPr>
              <w:t>ADAM uses in conjunction. NIST AI RMF principles inform ADAM’s BOSS scoring dimensions and governance feedback loops. ADAM extends by making risk management continuous and score-driven rather than periodic and checklist-based.</w:t>
            </w:r>
          </w:p>
        </w:tc>
      </w:tr>
      <w:tr w:rsidR="001A4EDA" w14:paraId="53FF5F98" w14:textId="77777777">
        <w:trPr>
          <w:jc w:val="center"/>
        </w:trPr>
        <w:tc>
          <w:tcPr>
            <w:tcW w:w="2592" w:type="dxa"/>
          </w:tcPr>
          <w:p w14:paraId="76F44ACE" w14:textId="77777777" w:rsidR="001A4EDA" w:rsidRDefault="00000000">
            <w:r>
              <w:rPr>
                <w:sz w:val="18"/>
              </w:rPr>
              <w:t>ISO/IEC 42001 (AI Management System)</w:t>
            </w:r>
          </w:p>
        </w:tc>
        <w:tc>
          <w:tcPr>
            <w:tcW w:w="4032" w:type="dxa"/>
          </w:tcPr>
          <w:p w14:paraId="14E6C10B" w14:textId="77777777" w:rsidR="001A4EDA" w:rsidRDefault="00000000">
            <w:r>
              <w:rPr>
                <w:sz w:val="18"/>
              </w:rPr>
              <w:t>World’s first AI management system standard. Governance, risk management, bias mitigation, transparency, accountability.</w:t>
            </w:r>
          </w:p>
        </w:tc>
        <w:tc>
          <w:tcPr>
            <w:tcW w:w="5616" w:type="dxa"/>
          </w:tcPr>
          <w:p w14:paraId="73886E60" w14:textId="77777777" w:rsidR="001A4EDA" w:rsidRDefault="00000000">
            <w:r>
              <w:rPr>
                <w:sz w:val="18"/>
              </w:rPr>
              <w:t xml:space="preserve">ADAM conforms and extends. ADAM’s governance model satisfies ISO 42001 requirements by construction: continuous monitoring, documented governance, risk management, and improvement </w:t>
            </w:r>
            <w:r>
              <w:rPr>
                <w:sz w:val="18"/>
              </w:rPr>
              <w:lastRenderedPageBreak/>
              <w:t>cycles are architectural properties, not process add-ons.</w:t>
            </w:r>
          </w:p>
        </w:tc>
      </w:tr>
      <w:tr w:rsidR="001A4EDA" w14:paraId="4464E589" w14:textId="77777777">
        <w:trPr>
          <w:jc w:val="center"/>
        </w:trPr>
        <w:tc>
          <w:tcPr>
            <w:tcW w:w="2592" w:type="dxa"/>
            <w:shd w:val="clear" w:color="auto" w:fill="F2F5F8"/>
          </w:tcPr>
          <w:p w14:paraId="07033AD7" w14:textId="77777777" w:rsidR="001A4EDA" w:rsidRDefault="00000000">
            <w:r>
              <w:rPr>
                <w:sz w:val="18"/>
              </w:rPr>
              <w:lastRenderedPageBreak/>
              <w:t>HAIRA (Healthcare AI Governance Readiness)</w:t>
            </w:r>
          </w:p>
        </w:tc>
        <w:tc>
          <w:tcPr>
            <w:tcW w:w="4032" w:type="dxa"/>
            <w:shd w:val="clear" w:color="auto" w:fill="F2F5F8"/>
          </w:tcPr>
          <w:p w14:paraId="21F4FDCF" w14:textId="77777777" w:rsidR="001A4EDA" w:rsidRDefault="00000000">
            <w:r>
              <w:rPr>
                <w:sz w:val="18"/>
              </w:rPr>
              <w:t>Five-level maturity model with actionable governance pathways based on organizational resources.</w:t>
            </w:r>
          </w:p>
        </w:tc>
        <w:tc>
          <w:tcPr>
            <w:tcW w:w="5616" w:type="dxa"/>
            <w:shd w:val="clear" w:color="auto" w:fill="F2F5F8"/>
          </w:tcPr>
          <w:p w14:paraId="4EB9AE6A" w14:textId="77777777" w:rsidR="001A4EDA" w:rsidRDefault="00000000">
            <w:r>
              <w:rPr>
                <w:sz w:val="18"/>
              </w:rPr>
              <w:t>ADAM is better. HAIRA provides assessment; ADAM provides implementation. ADAM’s Maturity Model (L0–L5) encompasses HAIRA’s maturity levels while adding specific architectural components, governance controls, and scoring mechanisms at each level.</w:t>
            </w:r>
          </w:p>
        </w:tc>
      </w:tr>
      <w:tr w:rsidR="001A4EDA" w14:paraId="7675DC13" w14:textId="77777777">
        <w:trPr>
          <w:jc w:val="center"/>
        </w:trPr>
        <w:tc>
          <w:tcPr>
            <w:tcW w:w="2592" w:type="dxa"/>
          </w:tcPr>
          <w:p w14:paraId="6DC6881E" w14:textId="77777777" w:rsidR="001A4EDA" w:rsidRDefault="00000000">
            <w:r>
              <w:rPr>
                <w:sz w:val="18"/>
              </w:rPr>
              <w:t>FDA PCCP (Predetermined Change Control Plans)</w:t>
            </w:r>
          </w:p>
        </w:tc>
        <w:tc>
          <w:tcPr>
            <w:tcW w:w="4032" w:type="dxa"/>
          </w:tcPr>
          <w:p w14:paraId="7460CE72" w14:textId="77777777" w:rsidR="001A4EDA" w:rsidRDefault="00000000">
            <w:r>
              <w:rPr>
                <w:sz w:val="18"/>
              </w:rPr>
              <w:t>Framework for managing post-market AI/ML model updates in SaMD without requiring new regulatory submissions for each change.</w:t>
            </w:r>
          </w:p>
        </w:tc>
        <w:tc>
          <w:tcPr>
            <w:tcW w:w="5616" w:type="dxa"/>
          </w:tcPr>
          <w:p w14:paraId="40DCECD1" w14:textId="77777777" w:rsidR="001A4EDA" w:rsidRDefault="00000000">
            <w:r>
              <w:rPr>
                <w:sz w:val="18"/>
              </w:rPr>
              <w:t>ADAM conforms natively. ADAM’s governance model—versioned doctrine, authorized changes, evidenced outcomes—maps directly to PCCP requirements. Every model update in ADAM is version-controlled, director-authorized, BOSS-scored, and Flight Recorder-evidenced.</w:t>
            </w:r>
          </w:p>
        </w:tc>
      </w:tr>
      <w:tr w:rsidR="001A4EDA" w14:paraId="53DFF815" w14:textId="77777777">
        <w:trPr>
          <w:jc w:val="center"/>
        </w:trPr>
        <w:tc>
          <w:tcPr>
            <w:tcW w:w="2592" w:type="dxa"/>
            <w:shd w:val="clear" w:color="auto" w:fill="F2F5F8"/>
          </w:tcPr>
          <w:p w14:paraId="2288B00D" w14:textId="77777777" w:rsidR="001A4EDA" w:rsidRDefault="00000000">
            <w:r>
              <w:rPr>
                <w:sz w:val="18"/>
              </w:rPr>
              <w:t>EU AI Act (High-Risk AI Systems)</w:t>
            </w:r>
          </w:p>
        </w:tc>
        <w:tc>
          <w:tcPr>
            <w:tcW w:w="4032" w:type="dxa"/>
            <w:shd w:val="clear" w:color="auto" w:fill="F2F5F8"/>
          </w:tcPr>
          <w:p w14:paraId="70D6B2F8" w14:textId="77777777" w:rsidR="001A4EDA" w:rsidRDefault="00000000">
            <w:r>
              <w:rPr>
                <w:sz w:val="18"/>
              </w:rPr>
              <w:t>Mandatory requirements for high-risk AI: data governance, documentation, transparency, human oversight, accuracy, robustness, cybersecurity.</w:t>
            </w:r>
          </w:p>
        </w:tc>
        <w:tc>
          <w:tcPr>
            <w:tcW w:w="5616" w:type="dxa"/>
            <w:shd w:val="clear" w:color="auto" w:fill="F2F5F8"/>
          </w:tcPr>
          <w:p w14:paraId="779CC289" w14:textId="77777777" w:rsidR="001A4EDA" w:rsidRDefault="00000000">
            <w:r>
              <w:rPr>
                <w:sz w:val="18"/>
              </w:rPr>
              <w:t>ADAM conforms by construction. Every EU AI Act high-risk requirement maps to an existing ADAM architectural capability. ADAM’s evidence model makes compliance provable rather than claimed.</w:t>
            </w:r>
          </w:p>
        </w:tc>
      </w:tr>
    </w:tbl>
    <w:p w14:paraId="523D1046" w14:textId="77777777" w:rsidR="001A4EDA" w:rsidRDefault="001A4EDA"/>
    <w:p w14:paraId="0BA634AF" w14:textId="77777777" w:rsidR="001A4EDA" w:rsidRDefault="00000000">
      <w:r>
        <w:t>The pattern across all healthcare frameworks is consistent: ADAM does not replace them. It provides the architectural implementation that makes their requirements executable at runtime. A HITRUST control is a requirement. ADAM makes it a policy constraint that runs at every agent action. An FDA PCCP requirement is a governance process. ADAM makes it an evidenced, scored, authorized workflow. The gap between “we have a framework” and “we can prove we follow it” is exactly the gap ADAM fills.</w:t>
      </w:r>
    </w:p>
    <w:p w14:paraId="023FDC98" w14:textId="77777777" w:rsidR="001A4EDA" w:rsidRDefault="00000000">
      <w:pPr>
        <w:pStyle w:val="Heading2"/>
      </w:pPr>
      <w:bookmarkStart w:id="21" w:name="_Toc227587142"/>
      <w:r>
        <w:t>III.7 Healthcare BOSS Score Customization</w:t>
      </w:r>
      <w:bookmarkEnd w:id="21"/>
    </w:p>
    <w:p w14:paraId="66FE5D7A" w14:textId="77777777" w:rsidR="001A4EDA" w:rsidRDefault="00000000">
      <w:r>
        <w:t>Healthcare deployments customize ADAM’s BOSS Priority Tier assignments to reflect the industry’s unique risk profile. The customization below reflects a fundamental healthcare reality: regulatory violations carry criminal penalties, patient data sovereignty is non-negotiable, and financial exposure, while significant, is bounded by insurance and contract terms in ways that clinical and regulatory risks are not.</w:t>
      </w:r>
    </w:p>
    <w:tbl>
      <w:tblPr>
        <w:tblStyle w:val="TableGrid"/>
        <w:tblW w:w="0" w:type="auto"/>
        <w:jc w:val="center"/>
        <w:tblLook w:val="04A0" w:firstRow="1" w:lastRow="0" w:firstColumn="1" w:lastColumn="0" w:noHBand="0" w:noVBand="1"/>
      </w:tblPr>
      <w:tblGrid>
        <w:gridCol w:w="1563"/>
        <w:gridCol w:w="1340"/>
        <w:gridCol w:w="1698"/>
        <w:gridCol w:w="844"/>
        <w:gridCol w:w="3905"/>
      </w:tblGrid>
      <w:tr w:rsidR="001A4EDA" w14:paraId="707FA30F" w14:textId="77777777">
        <w:trPr>
          <w:jc w:val="center"/>
        </w:trPr>
        <w:tc>
          <w:tcPr>
            <w:tcW w:w="1872" w:type="dxa"/>
            <w:shd w:val="clear" w:color="auto" w:fill="1F3A5F"/>
          </w:tcPr>
          <w:p w14:paraId="4754FC3F" w14:textId="77777777" w:rsidR="001A4EDA" w:rsidRDefault="00000000">
            <w:r>
              <w:rPr>
                <w:b/>
                <w:color w:val="FFFFFF"/>
                <w:sz w:val="20"/>
              </w:rPr>
              <w:t>BOSS Dimension</w:t>
            </w:r>
          </w:p>
        </w:tc>
        <w:tc>
          <w:tcPr>
            <w:tcW w:w="1728" w:type="dxa"/>
            <w:shd w:val="clear" w:color="auto" w:fill="1F3A5F"/>
          </w:tcPr>
          <w:p w14:paraId="225DCF16" w14:textId="77777777" w:rsidR="001A4EDA" w:rsidRDefault="00000000">
            <w:r>
              <w:rPr>
                <w:b/>
                <w:color w:val="FFFFFF"/>
                <w:sz w:val="20"/>
              </w:rPr>
              <w:t>Core ADAM Default</w:t>
            </w:r>
          </w:p>
        </w:tc>
        <w:tc>
          <w:tcPr>
            <w:tcW w:w="1872" w:type="dxa"/>
            <w:shd w:val="clear" w:color="auto" w:fill="1F3A5F"/>
          </w:tcPr>
          <w:p w14:paraId="03DE3C70" w14:textId="77777777" w:rsidR="001A4EDA" w:rsidRDefault="00000000">
            <w:r>
              <w:rPr>
                <w:b/>
                <w:color w:val="FFFFFF"/>
                <w:sz w:val="20"/>
              </w:rPr>
              <w:t>Healthcare Recommended</w:t>
            </w:r>
          </w:p>
        </w:tc>
        <w:tc>
          <w:tcPr>
            <w:tcW w:w="864" w:type="dxa"/>
            <w:shd w:val="clear" w:color="auto" w:fill="1F3A5F"/>
          </w:tcPr>
          <w:p w14:paraId="7FC14610" w14:textId="77777777" w:rsidR="001A4EDA" w:rsidRDefault="00000000">
            <w:r>
              <w:rPr>
                <w:b/>
                <w:color w:val="FFFFFF"/>
                <w:sz w:val="20"/>
              </w:rPr>
              <w:t>Weight</w:t>
            </w:r>
          </w:p>
        </w:tc>
        <w:tc>
          <w:tcPr>
            <w:tcW w:w="5904" w:type="dxa"/>
            <w:shd w:val="clear" w:color="auto" w:fill="1F3A5F"/>
          </w:tcPr>
          <w:p w14:paraId="34A9C88D" w14:textId="77777777" w:rsidR="001A4EDA" w:rsidRDefault="00000000">
            <w:r>
              <w:rPr>
                <w:b/>
                <w:color w:val="FFFFFF"/>
                <w:sz w:val="20"/>
              </w:rPr>
              <w:t>Healthcare Rationale</w:t>
            </w:r>
          </w:p>
        </w:tc>
      </w:tr>
      <w:tr w:rsidR="001A4EDA" w14:paraId="64A4F3BF" w14:textId="77777777">
        <w:trPr>
          <w:jc w:val="center"/>
        </w:trPr>
        <w:tc>
          <w:tcPr>
            <w:tcW w:w="1872" w:type="dxa"/>
          </w:tcPr>
          <w:p w14:paraId="6B9F6E7B" w14:textId="77777777" w:rsidR="001A4EDA" w:rsidRDefault="00000000">
            <w:r>
              <w:rPr>
                <w:sz w:val="18"/>
              </w:rPr>
              <w:t>Security Impact</w:t>
            </w:r>
          </w:p>
        </w:tc>
        <w:tc>
          <w:tcPr>
            <w:tcW w:w="1728" w:type="dxa"/>
          </w:tcPr>
          <w:p w14:paraId="5E5E6496" w14:textId="77777777" w:rsidR="001A4EDA" w:rsidRDefault="00000000">
            <w:r>
              <w:rPr>
                <w:sz w:val="18"/>
              </w:rPr>
              <w:t>Top (5.0)</w:t>
            </w:r>
          </w:p>
        </w:tc>
        <w:tc>
          <w:tcPr>
            <w:tcW w:w="1872" w:type="dxa"/>
          </w:tcPr>
          <w:p w14:paraId="6645AABA" w14:textId="77777777" w:rsidR="001A4EDA" w:rsidRDefault="00000000">
            <w:r>
              <w:rPr>
                <w:sz w:val="18"/>
              </w:rPr>
              <w:t>Top (5.0)</w:t>
            </w:r>
          </w:p>
        </w:tc>
        <w:tc>
          <w:tcPr>
            <w:tcW w:w="864" w:type="dxa"/>
          </w:tcPr>
          <w:p w14:paraId="19B3926A" w14:textId="77777777" w:rsidR="001A4EDA" w:rsidRDefault="00000000">
            <w:r>
              <w:rPr>
                <w:sz w:val="18"/>
              </w:rPr>
              <w:t>5.0</w:t>
            </w:r>
          </w:p>
        </w:tc>
        <w:tc>
          <w:tcPr>
            <w:tcW w:w="5904" w:type="dxa"/>
          </w:tcPr>
          <w:p w14:paraId="1904B51E" w14:textId="77777777" w:rsidR="001A4EDA" w:rsidRDefault="00000000">
            <w:r>
              <w:rPr>
                <w:sz w:val="18"/>
              </w:rPr>
              <w:t>Unchanged. Patient data breaches and infrastructure compromise remain the single most critical risk. Compromised data can lead to incorrect clinical decisions.</w:t>
            </w:r>
          </w:p>
        </w:tc>
      </w:tr>
      <w:tr w:rsidR="001A4EDA" w14:paraId="5DF48D64" w14:textId="77777777">
        <w:trPr>
          <w:jc w:val="center"/>
        </w:trPr>
        <w:tc>
          <w:tcPr>
            <w:tcW w:w="1872" w:type="dxa"/>
            <w:shd w:val="clear" w:color="auto" w:fill="F2F5F8"/>
          </w:tcPr>
          <w:p w14:paraId="2727DAE7" w14:textId="77777777" w:rsidR="001A4EDA" w:rsidRDefault="00000000">
            <w:r>
              <w:rPr>
                <w:sz w:val="18"/>
              </w:rPr>
              <w:t>Regulatory Impact</w:t>
            </w:r>
          </w:p>
        </w:tc>
        <w:tc>
          <w:tcPr>
            <w:tcW w:w="1728" w:type="dxa"/>
            <w:shd w:val="clear" w:color="auto" w:fill="F2F5F8"/>
          </w:tcPr>
          <w:p w14:paraId="3F0594B4" w14:textId="77777777" w:rsidR="001A4EDA" w:rsidRDefault="00000000">
            <w:r>
              <w:rPr>
                <w:sz w:val="18"/>
              </w:rPr>
              <w:t>High (3.0)</w:t>
            </w:r>
          </w:p>
        </w:tc>
        <w:tc>
          <w:tcPr>
            <w:tcW w:w="1872" w:type="dxa"/>
            <w:shd w:val="clear" w:color="auto" w:fill="F2F5F8"/>
          </w:tcPr>
          <w:p w14:paraId="54268D7D" w14:textId="77777777" w:rsidR="001A4EDA" w:rsidRDefault="00000000">
            <w:r>
              <w:rPr>
                <w:sz w:val="18"/>
              </w:rPr>
              <w:t>Very High (4.0)</w:t>
            </w:r>
          </w:p>
        </w:tc>
        <w:tc>
          <w:tcPr>
            <w:tcW w:w="864" w:type="dxa"/>
            <w:shd w:val="clear" w:color="auto" w:fill="F2F5F8"/>
          </w:tcPr>
          <w:p w14:paraId="660ED4EA" w14:textId="77777777" w:rsidR="001A4EDA" w:rsidRDefault="00000000">
            <w:r>
              <w:rPr>
                <w:sz w:val="18"/>
              </w:rPr>
              <w:t>4.0</w:t>
            </w:r>
          </w:p>
        </w:tc>
        <w:tc>
          <w:tcPr>
            <w:tcW w:w="5904" w:type="dxa"/>
            <w:shd w:val="clear" w:color="auto" w:fill="F2F5F8"/>
          </w:tcPr>
          <w:p w14:paraId="620B1369" w14:textId="77777777" w:rsidR="001A4EDA" w:rsidRDefault="00000000">
            <w:r>
              <w:rPr>
                <w:sz w:val="18"/>
              </w:rPr>
              <w:t>Elevated. HIPAA, FDA, EU MDR, and PIPL violations carry criminal penalties, facility shutdowns, and product recalls. Regulatory failure in healthcare is existential.</w:t>
            </w:r>
          </w:p>
        </w:tc>
      </w:tr>
      <w:tr w:rsidR="001A4EDA" w14:paraId="07EC5EAF" w14:textId="77777777">
        <w:trPr>
          <w:jc w:val="center"/>
        </w:trPr>
        <w:tc>
          <w:tcPr>
            <w:tcW w:w="1872" w:type="dxa"/>
          </w:tcPr>
          <w:p w14:paraId="09E124E6" w14:textId="77777777" w:rsidR="001A4EDA" w:rsidRDefault="00000000">
            <w:r>
              <w:rPr>
                <w:sz w:val="18"/>
              </w:rPr>
              <w:t>Sovereignty Action</w:t>
            </w:r>
          </w:p>
        </w:tc>
        <w:tc>
          <w:tcPr>
            <w:tcW w:w="1728" w:type="dxa"/>
          </w:tcPr>
          <w:p w14:paraId="1D5150CA" w14:textId="77777777" w:rsidR="001A4EDA" w:rsidRDefault="00000000">
            <w:r>
              <w:rPr>
                <w:sz w:val="18"/>
              </w:rPr>
              <w:t>Very High (4.0)</w:t>
            </w:r>
          </w:p>
        </w:tc>
        <w:tc>
          <w:tcPr>
            <w:tcW w:w="1872" w:type="dxa"/>
          </w:tcPr>
          <w:p w14:paraId="539528ED" w14:textId="77777777" w:rsidR="001A4EDA" w:rsidRDefault="00000000">
            <w:r>
              <w:rPr>
                <w:sz w:val="18"/>
              </w:rPr>
              <w:t>Very High (4.0)</w:t>
            </w:r>
          </w:p>
        </w:tc>
        <w:tc>
          <w:tcPr>
            <w:tcW w:w="864" w:type="dxa"/>
          </w:tcPr>
          <w:p w14:paraId="1C4FFA3F" w14:textId="77777777" w:rsidR="001A4EDA" w:rsidRDefault="00000000">
            <w:r>
              <w:rPr>
                <w:sz w:val="18"/>
              </w:rPr>
              <w:t>4.0</w:t>
            </w:r>
          </w:p>
        </w:tc>
        <w:tc>
          <w:tcPr>
            <w:tcW w:w="5904" w:type="dxa"/>
          </w:tcPr>
          <w:p w14:paraId="433FF6D0" w14:textId="77777777" w:rsidR="001A4EDA" w:rsidRDefault="00000000">
            <w:r>
              <w:rPr>
                <w:sz w:val="18"/>
              </w:rPr>
              <w:t>Unchanged. Patient data sovereignty is non-negotiable. Cross-border data transfer restrictions (HIPAA, PIPL, GDPR) are strictly enforced.</w:t>
            </w:r>
          </w:p>
        </w:tc>
      </w:tr>
      <w:tr w:rsidR="001A4EDA" w14:paraId="71142392" w14:textId="77777777">
        <w:trPr>
          <w:jc w:val="center"/>
        </w:trPr>
        <w:tc>
          <w:tcPr>
            <w:tcW w:w="1872" w:type="dxa"/>
            <w:shd w:val="clear" w:color="auto" w:fill="F2F5F8"/>
          </w:tcPr>
          <w:p w14:paraId="11F9203E" w14:textId="77777777" w:rsidR="001A4EDA" w:rsidRDefault="00000000">
            <w:r>
              <w:rPr>
                <w:sz w:val="18"/>
              </w:rPr>
              <w:lastRenderedPageBreak/>
              <w:t>Financial Exposure</w:t>
            </w:r>
          </w:p>
        </w:tc>
        <w:tc>
          <w:tcPr>
            <w:tcW w:w="1728" w:type="dxa"/>
            <w:shd w:val="clear" w:color="auto" w:fill="F2F5F8"/>
          </w:tcPr>
          <w:p w14:paraId="1D5694A3" w14:textId="77777777" w:rsidR="001A4EDA" w:rsidRDefault="00000000">
            <w:r>
              <w:rPr>
                <w:sz w:val="18"/>
              </w:rPr>
              <w:t>Very High (4.0)</w:t>
            </w:r>
          </w:p>
        </w:tc>
        <w:tc>
          <w:tcPr>
            <w:tcW w:w="1872" w:type="dxa"/>
            <w:shd w:val="clear" w:color="auto" w:fill="F2F5F8"/>
          </w:tcPr>
          <w:p w14:paraId="1D90E7D7" w14:textId="77777777" w:rsidR="001A4EDA" w:rsidRDefault="00000000">
            <w:r>
              <w:rPr>
                <w:sz w:val="18"/>
              </w:rPr>
              <w:t>High (3.0)</w:t>
            </w:r>
          </w:p>
        </w:tc>
        <w:tc>
          <w:tcPr>
            <w:tcW w:w="864" w:type="dxa"/>
            <w:shd w:val="clear" w:color="auto" w:fill="F2F5F8"/>
          </w:tcPr>
          <w:p w14:paraId="5B1AE68A" w14:textId="77777777" w:rsidR="001A4EDA" w:rsidRDefault="00000000">
            <w:r>
              <w:rPr>
                <w:sz w:val="18"/>
              </w:rPr>
              <w:t>3.0</w:t>
            </w:r>
          </w:p>
        </w:tc>
        <w:tc>
          <w:tcPr>
            <w:tcW w:w="5904" w:type="dxa"/>
            <w:shd w:val="clear" w:color="auto" w:fill="F2F5F8"/>
          </w:tcPr>
          <w:p w14:paraId="320B2841" w14:textId="77777777" w:rsidR="001A4EDA" w:rsidRDefault="00000000">
            <w:r>
              <w:rPr>
                <w:sz w:val="18"/>
              </w:rPr>
              <w:t>Reduced one tier. Financial risk exists but is bounded by contract terms and insurance. Patient safety and regulatory risks have higher consequences.</w:t>
            </w:r>
          </w:p>
        </w:tc>
      </w:tr>
      <w:tr w:rsidR="001A4EDA" w14:paraId="4FB27A96" w14:textId="77777777">
        <w:trPr>
          <w:jc w:val="center"/>
        </w:trPr>
        <w:tc>
          <w:tcPr>
            <w:tcW w:w="1872" w:type="dxa"/>
          </w:tcPr>
          <w:p w14:paraId="2CA58FB3" w14:textId="77777777" w:rsidR="001A4EDA" w:rsidRDefault="00000000">
            <w:r>
              <w:rPr>
                <w:sz w:val="18"/>
              </w:rPr>
              <w:t>Reputational Risk</w:t>
            </w:r>
          </w:p>
        </w:tc>
        <w:tc>
          <w:tcPr>
            <w:tcW w:w="1728" w:type="dxa"/>
          </w:tcPr>
          <w:p w14:paraId="6686A303" w14:textId="77777777" w:rsidR="001A4EDA" w:rsidRDefault="00000000">
            <w:r>
              <w:rPr>
                <w:sz w:val="18"/>
              </w:rPr>
              <w:t>High (3.0)</w:t>
            </w:r>
          </w:p>
        </w:tc>
        <w:tc>
          <w:tcPr>
            <w:tcW w:w="1872" w:type="dxa"/>
          </w:tcPr>
          <w:p w14:paraId="562893E3" w14:textId="77777777" w:rsidR="001A4EDA" w:rsidRDefault="00000000">
            <w:r>
              <w:rPr>
                <w:sz w:val="18"/>
              </w:rPr>
              <w:t>High (3.0)</w:t>
            </w:r>
          </w:p>
        </w:tc>
        <w:tc>
          <w:tcPr>
            <w:tcW w:w="864" w:type="dxa"/>
          </w:tcPr>
          <w:p w14:paraId="6DBE5795" w14:textId="77777777" w:rsidR="001A4EDA" w:rsidRDefault="00000000">
            <w:r>
              <w:rPr>
                <w:sz w:val="18"/>
              </w:rPr>
              <w:t>3.0</w:t>
            </w:r>
          </w:p>
        </w:tc>
        <w:tc>
          <w:tcPr>
            <w:tcW w:w="5904" w:type="dxa"/>
          </w:tcPr>
          <w:p w14:paraId="3A32F374" w14:textId="77777777" w:rsidR="001A4EDA" w:rsidRDefault="00000000">
            <w:r>
              <w:rPr>
                <w:sz w:val="18"/>
              </w:rPr>
              <w:t>Unchanged. Healthcare reputation damage is severe but regulatory and safety risks are more immediate.</w:t>
            </w:r>
          </w:p>
        </w:tc>
      </w:tr>
      <w:tr w:rsidR="001A4EDA" w14:paraId="3600B176" w14:textId="77777777">
        <w:trPr>
          <w:jc w:val="center"/>
        </w:trPr>
        <w:tc>
          <w:tcPr>
            <w:tcW w:w="1872" w:type="dxa"/>
            <w:shd w:val="clear" w:color="auto" w:fill="F2F5F8"/>
          </w:tcPr>
          <w:p w14:paraId="0D15B758" w14:textId="77777777" w:rsidR="001A4EDA" w:rsidRDefault="00000000">
            <w:r>
              <w:rPr>
                <w:sz w:val="18"/>
              </w:rPr>
              <w:t>Rights Certainty</w:t>
            </w:r>
          </w:p>
        </w:tc>
        <w:tc>
          <w:tcPr>
            <w:tcW w:w="1728" w:type="dxa"/>
            <w:shd w:val="clear" w:color="auto" w:fill="F2F5F8"/>
          </w:tcPr>
          <w:p w14:paraId="15275F32" w14:textId="77777777" w:rsidR="001A4EDA" w:rsidRDefault="00000000">
            <w:r>
              <w:rPr>
                <w:sz w:val="18"/>
              </w:rPr>
              <w:t>High (3.0)</w:t>
            </w:r>
          </w:p>
        </w:tc>
        <w:tc>
          <w:tcPr>
            <w:tcW w:w="1872" w:type="dxa"/>
            <w:shd w:val="clear" w:color="auto" w:fill="F2F5F8"/>
          </w:tcPr>
          <w:p w14:paraId="227BCBCB" w14:textId="77777777" w:rsidR="001A4EDA" w:rsidRDefault="00000000">
            <w:r>
              <w:rPr>
                <w:sz w:val="18"/>
              </w:rPr>
              <w:t>High (3.0)</w:t>
            </w:r>
          </w:p>
        </w:tc>
        <w:tc>
          <w:tcPr>
            <w:tcW w:w="864" w:type="dxa"/>
            <w:shd w:val="clear" w:color="auto" w:fill="F2F5F8"/>
          </w:tcPr>
          <w:p w14:paraId="0246014B" w14:textId="77777777" w:rsidR="001A4EDA" w:rsidRDefault="00000000">
            <w:r>
              <w:rPr>
                <w:sz w:val="18"/>
              </w:rPr>
              <w:t>3.0</w:t>
            </w:r>
          </w:p>
        </w:tc>
        <w:tc>
          <w:tcPr>
            <w:tcW w:w="5904" w:type="dxa"/>
            <w:shd w:val="clear" w:color="auto" w:fill="F2F5F8"/>
          </w:tcPr>
          <w:p w14:paraId="52AC45DB" w14:textId="77777777" w:rsidR="001A4EDA" w:rsidRDefault="00000000">
            <w:r>
              <w:rPr>
                <w:sz w:val="18"/>
              </w:rPr>
              <w:t>Re-labeled as "Patient Consent Certainty" in healthcare. Measures certainty that consent, authorization, and data use agreements are current and valid.</w:t>
            </w:r>
          </w:p>
        </w:tc>
      </w:tr>
      <w:tr w:rsidR="001A4EDA" w14:paraId="43095DD3" w14:textId="77777777">
        <w:trPr>
          <w:jc w:val="center"/>
        </w:trPr>
        <w:tc>
          <w:tcPr>
            <w:tcW w:w="1872" w:type="dxa"/>
          </w:tcPr>
          <w:p w14:paraId="53A4D09C" w14:textId="77777777" w:rsidR="001A4EDA" w:rsidRDefault="00000000">
            <w:r>
              <w:rPr>
                <w:sz w:val="18"/>
              </w:rPr>
              <w:t>Doctrinal Alignment</w:t>
            </w:r>
          </w:p>
        </w:tc>
        <w:tc>
          <w:tcPr>
            <w:tcW w:w="1728" w:type="dxa"/>
          </w:tcPr>
          <w:p w14:paraId="74E3DB38" w14:textId="77777777" w:rsidR="001A4EDA" w:rsidRDefault="00000000">
            <w:r>
              <w:rPr>
                <w:sz w:val="18"/>
              </w:rPr>
              <w:t>Medium (2.0)</w:t>
            </w:r>
          </w:p>
        </w:tc>
        <w:tc>
          <w:tcPr>
            <w:tcW w:w="1872" w:type="dxa"/>
          </w:tcPr>
          <w:p w14:paraId="645DD86C" w14:textId="77777777" w:rsidR="001A4EDA" w:rsidRDefault="00000000">
            <w:r>
              <w:rPr>
                <w:sz w:val="18"/>
              </w:rPr>
              <w:t>Medium (2.0)</w:t>
            </w:r>
          </w:p>
        </w:tc>
        <w:tc>
          <w:tcPr>
            <w:tcW w:w="864" w:type="dxa"/>
          </w:tcPr>
          <w:p w14:paraId="7F44826B" w14:textId="77777777" w:rsidR="001A4EDA" w:rsidRDefault="00000000">
            <w:r>
              <w:rPr>
                <w:sz w:val="18"/>
              </w:rPr>
              <w:t>2.0</w:t>
            </w:r>
          </w:p>
        </w:tc>
        <w:tc>
          <w:tcPr>
            <w:tcW w:w="5904" w:type="dxa"/>
          </w:tcPr>
          <w:p w14:paraId="024C4540" w14:textId="77777777" w:rsidR="001A4EDA" w:rsidRDefault="00000000">
            <w:r>
              <w:rPr>
                <w:sz w:val="18"/>
              </w:rPr>
              <w:t>Unchanged. Internal alignment matters but clinical and regulatory dimensions dominate.</w:t>
            </w:r>
          </w:p>
        </w:tc>
      </w:tr>
    </w:tbl>
    <w:p w14:paraId="59613C9F" w14:textId="77777777" w:rsidR="001A4EDA" w:rsidRDefault="001A4EDA"/>
    <w:p w14:paraId="025F8FDC" w14:textId="77777777" w:rsidR="001A4EDA" w:rsidRDefault="00000000">
      <w:r>
        <w:t>The healthcare configuration produces a total weight of 24.0. The key shift from the ADAM default: Regulatory Impact moves from High (3.0) to Very High (4.0), while Financial Exposure moves from Very High (4.0) to High (3.0). This swap reflects the healthcare reality that a $10M HIPAA fine with criminal referral is catastrophically worse than a $10M financial loss, even though the dollar amount is identical. The SOAP-to-OHSHAT spectrum, Critical Dimension Override, and Non-Idempotent Penalty (+15) apply ide</w:t>
      </w:r>
      <w:r>
        <w:t>ntically.</w:t>
      </w:r>
    </w:p>
    <w:tbl>
      <w:tblPr>
        <w:tblW w:w="0" w:type="auto"/>
        <w:jc w:val="center"/>
        <w:tblLook w:val="04A0" w:firstRow="1" w:lastRow="0" w:firstColumn="1" w:lastColumn="0" w:noHBand="0" w:noVBand="1"/>
      </w:tblPr>
      <w:tblGrid>
        <w:gridCol w:w="9360"/>
      </w:tblGrid>
      <w:tr w:rsidR="001A4EDA" w14:paraId="2ACD3C39" w14:textId="77777777">
        <w:trPr>
          <w:jc w:val="center"/>
        </w:trPr>
        <w:tc>
          <w:tcPr>
            <w:tcW w:w="9360" w:type="dxa"/>
            <w:shd w:val="clear" w:color="auto" w:fill="E8EDF2"/>
          </w:tcPr>
          <w:p w14:paraId="271E9436" w14:textId="77777777" w:rsidR="001A4EDA" w:rsidRDefault="00000000">
            <w:r>
              <w:rPr>
                <w:b/>
                <w:color w:val="1F3A5F"/>
              </w:rPr>
              <w:t>SIDEBAR: Healthcare Section Final Thoughts</w:t>
            </w:r>
          </w:p>
          <w:p w14:paraId="5B289251" w14:textId="77777777" w:rsidR="001A4EDA" w:rsidRDefault="00000000">
            <w:r>
              <w:rPr>
                <w:sz w:val="20"/>
              </w:rPr>
              <w:t>Healthcare does not need AI that moves fast. It needs AI that moves right—with proof. Every clinical recommendation evidenced. Every patient data access authorized. Every regulatory requirement continuously enforced. Every exception escalated to the director who is accountable.</w:t>
            </w:r>
          </w:p>
          <w:p w14:paraId="3E820ED5" w14:textId="77777777" w:rsidR="001A4EDA" w:rsidRDefault="00000000">
            <w:r>
              <w:rPr>
                <w:sz w:val="20"/>
              </w:rPr>
              <w:t>ADAM’s healthcare deployment is the most demanding application of the doctrine: maximum BOSS sensitivity, maximum evidence requirements, maximum security posture. If ADAM can govern healthcare—where the cost of failure is measured in lives, not dollars—it can govern anything.</w:t>
            </w:r>
          </w:p>
          <w:p w14:paraId="1E7FE051" w14:textId="77777777" w:rsidR="001A4EDA" w:rsidRDefault="00000000">
            <w:r>
              <w:rPr>
                <w:sz w:val="20"/>
              </w:rPr>
              <w:t>The 5-Director Constitution ensures that autonomy never means unaccountability. The CEO is accountable. The CISO is accountable. The Legal Director is accountable. ADAM does not replace that accountability—it makes it operationally real.</w:t>
            </w:r>
          </w:p>
        </w:tc>
      </w:tr>
    </w:tbl>
    <w:p w14:paraId="1E8C2469" w14:textId="77777777" w:rsidR="001A4EDA" w:rsidRDefault="001A4EDA"/>
    <w:p w14:paraId="015D917C" w14:textId="77777777" w:rsidR="001A4EDA" w:rsidRDefault="00000000">
      <w:r>
        <w:br w:type="page"/>
      </w:r>
    </w:p>
    <w:p w14:paraId="7DA30481" w14:textId="77777777" w:rsidR="001A4EDA" w:rsidRDefault="00000000">
      <w:pPr>
        <w:pStyle w:val="Heading1"/>
      </w:pPr>
      <w:bookmarkStart w:id="22" w:name="_Toc227587143"/>
      <w:r>
        <w:lastRenderedPageBreak/>
        <w:t>Part IV — Manufacturing</w:t>
      </w:r>
      <w:bookmarkEnd w:id="22"/>
    </w:p>
    <w:p w14:paraId="71F0CD7C" w14:textId="77777777" w:rsidR="001A4EDA" w:rsidRDefault="00000000">
      <w:pPr>
        <w:pStyle w:val="Heading2"/>
      </w:pPr>
      <w:bookmarkStart w:id="23" w:name="_Toc227587144"/>
      <w:r>
        <w:t>IV.1 Industry Context: Why ADAM for Manufacturing</w:t>
      </w:r>
      <w:bookmarkEnd w:id="23"/>
    </w:p>
    <w:p w14:paraId="3E0806C2" w14:textId="77777777" w:rsidR="001A4EDA" w:rsidRDefault="00000000">
      <w:r>
        <w:rPr>
          <w:b/>
          <w:sz w:val="24"/>
        </w:rPr>
        <w:t>Industry 5.0 told manufacturing to be human-centric, sustainable, and resilient. ADAM tells it how.</w:t>
      </w:r>
    </w:p>
    <w:p w14:paraId="54F80BEE" w14:textId="77777777" w:rsidR="001A4EDA" w:rsidRDefault="00000000">
      <w:r>
        <w:t>Manufacturing is undergoing a transformation that the industry has labeled in phases: Industry 4.0 brought digitalization, IoT, and cyber-physical systems. Industry 5.0—as defined by the EU Commission—adds three pillars that are fundamentally governance challenges: human-centricity (worker wellbeing and skills development), sustainability (respecting planetary boundaries), and resilience (systemic adaptability and supply chain robustness). None of these pillars can be achieved through technology alone. They</w:t>
      </w:r>
      <w:r>
        <w:t xml:space="preserve"> require the kind of constitutional, doctrine-driven governance that ADAM was built to provide.</w:t>
      </w:r>
    </w:p>
    <w:p w14:paraId="4AEE7FEE" w14:textId="77777777" w:rsidR="001A4EDA" w:rsidRDefault="00000000">
      <w:r>
        <w:t>Manufacturing operations run across the ISA-95 automation pyramid (Levels 0–4), from physical production processes through PLC/SCADA control, Manufacturing Execution Systems (MES), to enterprise ERP. More than 90% of manufacturers use ISA-95 as their integration framework. But ISA-95 defines data exchange patterns, not governance. OPC UA (IEC 62541) provides interoperability, not authorization. IEC 62443 provides cybersecurity standards, not autonomous decision governance. ADAM fills the gap that exists abo</w:t>
      </w:r>
      <w:r>
        <w:t>ve all of these standards: the constitutional layer that determines what autonomous decisions are allowed, under what constraints, with what evidence, and with what human accountability.</w:t>
      </w:r>
    </w:p>
    <w:p w14:paraId="3AAE9877" w14:textId="77777777" w:rsidR="001A4EDA" w:rsidRDefault="00000000">
      <w:r>
        <w:t>ADAM does not replace ISA-95, OPC UA, or IEC 62443. It consumes them. ADAM’s manufacturing agents speak OPC UA natively, operate within ISA-95’s hierarchical model, and enforce IEC 62443’s cybersecurity requirements as BOSS-scored governance constraints. What ADAM adds is the doctrine: the executable understanding of why a production decision is allowed, what risk it carries, and how it is proven to regulators, safety inspectors, and the workforce whose wellbeing Industry 5.0 demands.</w:t>
      </w:r>
    </w:p>
    <w:p w14:paraId="571BE040" w14:textId="77777777" w:rsidR="001A4EDA" w:rsidRDefault="00000000">
      <w:r>
        <w:t xml:space="preserve">The 5-Director Constitution maps to manufacturing governance with particular clarity. The CEO owns enterprise-level production strategy and autonomous outcomes. The CFO governs financial thresholds for capital expenditure, production scheduling with cost implications, and supply chain financial commitments. The Legal Director oversees regulatory compliance—EU Machinery Regulation, IEC 62443, environmental regulations, and labor law. The Market Director governs customer commitments, delivery scheduling, and </w:t>
      </w:r>
      <w:r>
        <w:t>product quality standards that affect market position. The CISO bears critical responsibility for OT/ICS cybersecurity—a domain where a breach can cause physical harm, not just data loss.</w:t>
      </w:r>
    </w:p>
    <w:tbl>
      <w:tblPr>
        <w:tblW w:w="0" w:type="auto"/>
        <w:jc w:val="center"/>
        <w:tblLook w:val="04A0" w:firstRow="1" w:lastRow="0" w:firstColumn="1" w:lastColumn="0" w:noHBand="0" w:noVBand="1"/>
      </w:tblPr>
      <w:tblGrid>
        <w:gridCol w:w="9360"/>
      </w:tblGrid>
      <w:tr w:rsidR="001A4EDA" w14:paraId="63C4502E" w14:textId="77777777">
        <w:trPr>
          <w:jc w:val="center"/>
        </w:trPr>
        <w:tc>
          <w:tcPr>
            <w:tcW w:w="9360" w:type="dxa"/>
            <w:shd w:val="clear" w:color="auto" w:fill="FFF3E0"/>
          </w:tcPr>
          <w:p w14:paraId="6376DAFA" w14:textId="77777777" w:rsidR="001A4EDA" w:rsidRDefault="00000000">
            <w:r>
              <w:rPr>
                <w:b/>
                <w:color w:val="8B5E00"/>
              </w:rPr>
              <w:t>SCENARIO: NetMakeItX — The Problem ADAM Solves</w:t>
            </w:r>
          </w:p>
          <w:p w14:paraId="61BB9FF4" w14:textId="77777777" w:rsidR="001A4EDA" w:rsidRDefault="00000000">
            <w:r>
              <w:rPr>
                <w:sz w:val="20"/>
              </w:rPr>
              <w:lastRenderedPageBreak/>
              <w:t>NetMakeItX is a mid-size European precision components manufacturer operating 3 factories across Germany, Poland, and the Czech Republic. They produce high-tolerance aerospace and automotive components with production runs spanning 12–18 month contracts.</w:t>
            </w:r>
          </w:p>
          <w:p w14:paraId="75F44C7F" w14:textId="77777777" w:rsidR="001A4EDA" w:rsidRDefault="00000000">
            <w:r>
              <w:rPr>
                <w:sz w:val="20"/>
              </w:rPr>
              <w:t>On a Monday morning, the quality control system at Factory 1 (Germany) detects a dimensional drift in a CNC machining center producing aerospace turbine blades. The drift is within tolerance but trending. The quality system flags it. The maintenance system does not see the flag. The production planning system does not see the flag. The ERP system does not see the flag. By Wednesday, the drift exceeds tolerance. 340 turbine blades—valued at €2.1M—are scrapped. The customer’s delivery schedule slips by 3 week</w:t>
            </w:r>
            <w:r>
              <w:rPr>
                <w:sz w:val="20"/>
              </w:rPr>
              <w:t>s. The contractual penalty is €180,000.</w:t>
            </w:r>
          </w:p>
          <w:p w14:paraId="3827A3D1" w14:textId="77777777" w:rsidR="001A4EDA" w:rsidRDefault="00000000">
            <w:r>
              <w:rPr>
                <w:sz w:val="20"/>
              </w:rPr>
              <w:t>With ADAM: The Predictive Maintenance Governor correlates the CNC sensor data (vibration, thermal, dimensional) through OPC UA. The trending drift triggers a BOSS score of 42 (ELEVATED tier) on Monday morning. The exception packet routes to the Market Director (customer delivery impact) and CFO (financial exposure). The Production Planning &amp; Scheduling Agent automatically adjusts the production schedule: the affected CNC center is taken offline for maintenance during a planned shift change, and production i</w:t>
            </w:r>
            <w:r>
              <w:rPr>
                <w:sz w:val="20"/>
              </w:rPr>
              <w:t>s redistributed to Factory 2 (Poland) which has compatible capability. Zero blades scrapped. Zero delivery delay. Zero penalty. The Flight Recorder captures the entire decision chain from sensor reading to production reroute. The aerospace customer’s quality auditor can trace every step.</w:t>
            </w:r>
          </w:p>
        </w:tc>
      </w:tr>
    </w:tbl>
    <w:p w14:paraId="7D44EAF2" w14:textId="77777777" w:rsidR="001A4EDA" w:rsidRDefault="001A4EDA"/>
    <w:p w14:paraId="57F637E1" w14:textId="77777777" w:rsidR="001A4EDA" w:rsidRDefault="00000000">
      <w:pPr>
        <w:pStyle w:val="Heading2"/>
      </w:pPr>
      <w:bookmarkStart w:id="24" w:name="_Toc227587145"/>
      <w:r>
        <w:t>IV.2 Manufacturing Industry Agent Inventory</w:t>
      </w:r>
      <w:bookmarkEnd w:id="24"/>
    </w:p>
    <w:p w14:paraId="1BCA9738" w14:textId="77777777" w:rsidR="001A4EDA" w:rsidRDefault="00000000">
      <w:r>
        <w:rPr>
          <w:b/>
          <w:sz w:val="24"/>
        </w:rPr>
        <w:t>Manufacturing autonomy operates at the physical-digital boundary. The governance must operate there too.</w:t>
      </w:r>
    </w:p>
    <w:p w14:paraId="46180913" w14:textId="77777777" w:rsidR="001A4EDA" w:rsidRDefault="00000000">
      <w:r>
        <w:t>The following agents extend ADAM’s 81-agent mesh for manufacturing-specific operations. Manufacturing agents face a unique challenge: they operate at the boundary between digital systems and physical reality. A scheduling decision is digital; the production equipment that executes it is physical. A quality inspection is digital; the defective part it catches is physical. This physical-digital boundary creates governance requirements that purely digital industries do not face: real-time constraints, safety-c</w:t>
      </w:r>
      <w:r>
        <w:t>ritical decisions, and actions that are inherently non-idempotent (you cannot un-mill a turbine blade).</w:t>
      </w:r>
    </w:p>
    <w:p w14:paraId="2320ED8E" w14:textId="77777777" w:rsidR="001A4EDA" w:rsidRDefault="00000000">
      <w:r>
        <w:t>Governor Agents in manufacturing—the Predictive Maintenance Governor, Supply Chain Resilience Orchestrator, and Digital Twin Operations Governor—sit at the Domain Governance layer and coordinate cross-functional decisions. Work Group agents execute specialized functions within governance boundaries. The 5-Director Constitution provides human accountability, with the CISO bearing particular weight for OT/ICS cybersecurity and the CFO governing production decisions with financial implications.</w:t>
      </w:r>
    </w:p>
    <w:tbl>
      <w:tblPr>
        <w:tblStyle w:val="TableGrid"/>
        <w:tblW w:w="0" w:type="auto"/>
        <w:jc w:val="center"/>
        <w:tblLook w:val="04A0" w:firstRow="1" w:lastRow="0" w:firstColumn="1" w:lastColumn="0" w:noHBand="0" w:noVBand="1"/>
      </w:tblPr>
      <w:tblGrid>
        <w:gridCol w:w="1355"/>
        <w:gridCol w:w="1302"/>
        <w:gridCol w:w="1700"/>
        <w:gridCol w:w="1772"/>
        <w:gridCol w:w="1655"/>
        <w:gridCol w:w="1566"/>
      </w:tblGrid>
      <w:tr w:rsidR="001A4EDA" w14:paraId="54C44473" w14:textId="77777777">
        <w:trPr>
          <w:jc w:val="center"/>
        </w:trPr>
        <w:tc>
          <w:tcPr>
            <w:tcW w:w="1872" w:type="dxa"/>
            <w:shd w:val="clear" w:color="auto" w:fill="1F3A5F"/>
          </w:tcPr>
          <w:p w14:paraId="41461749" w14:textId="77777777" w:rsidR="001A4EDA" w:rsidRDefault="00000000">
            <w:r>
              <w:rPr>
                <w:b/>
                <w:color w:val="FFFFFF"/>
                <w:sz w:val="20"/>
              </w:rPr>
              <w:t>Agent Name</w:t>
            </w:r>
          </w:p>
        </w:tc>
        <w:tc>
          <w:tcPr>
            <w:tcW w:w="1152" w:type="dxa"/>
            <w:shd w:val="clear" w:color="auto" w:fill="1F3A5F"/>
          </w:tcPr>
          <w:p w14:paraId="38F815ED" w14:textId="77777777" w:rsidR="001A4EDA" w:rsidRDefault="00000000">
            <w:r>
              <w:rPr>
                <w:b/>
                <w:color w:val="FFFFFF"/>
                <w:sz w:val="20"/>
              </w:rPr>
              <w:t>Layer</w:t>
            </w:r>
          </w:p>
        </w:tc>
        <w:tc>
          <w:tcPr>
            <w:tcW w:w="2304" w:type="dxa"/>
            <w:shd w:val="clear" w:color="auto" w:fill="1F3A5F"/>
          </w:tcPr>
          <w:p w14:paraId="206DE6BD" w14:textId="77777777" w:rsidR="001A4EDA" w:rsidRDefault="00000000">
            <w:r>
              <w:rPr>
                <w:b/>
                <w:color w:val="FFFFFF"/>
                <w:sz w:val="20"/>
              </w:rPr>
              <w:t>Function</w:t>
            </w:r>
          </w:p>
        </w:tc>
        <w:tc>
          <w:tcPr>
            <w:tcW w:w="2160" w:type="dxa"/>
            <w:shd w:val="clear" w:color="auto" w:fill="1F3A5F"/>
          </w:tcPr>
          <w:p w14:paraId="333998A2" w14:textId="77777777" w:rsidR="001A4EDA" w:rsidRDefault="00000000">
            <w:r>
              <w:rPr>
                <w:b/>
                <w:color w:val="FFFFFF"/>
                <w:sz w:val="20"/>
              </w:rPr>
              <w:t>Business Value</w:t>
            </w:r>
          </w:p>
        </w:tc>
        <w:tc>
          <w:tcPr>
            <w:tcW w:w="2160" w:type="dxa"/>
            <w:shd w:val="clear" w:color="auto" w:fill="1F3A5F"/>
          </w:tcPr>
          <w:p w14:paraId="43A14CA1" w14:textId="77777777" w:rsidR="001A4EDA" w:rsidRDefault="00000000">
            <w:r>
              <w:rPr>
                <w:b/>
                <w:color w:val="FFFFFF"/>
                <w:sz w:val="20"/>
              </w:rPr>
              <w:t>Technical Value</w:t>
            </w:r>
          </w:p>
        </w:tc>
        <w:tc>
          <w:tcPr>
            <w:tcW w:w="2592" w:type="dxa"/>
            <w:shd w:val="clear" w:color="auto" w:fill="1F3A5F"/>
          </w:tcPr>
          <w:p w14:paraId="1E0584CC" w14:textId="77777777" w:rsidR="001A4EDA" w:rsidRDefault="00000000">
            <w:r>
              <w:rPr>
                <w:b/>
                <w:color w:val="FFFFFF"/>
                <w:sz w:val="20"/>
              </w:rPr>
              <w:t>ADAM Value</w:t>
            </w:r>
          </w:p>
        </w:tc>
      </w:tr>
      <w:tr w:rsidR="001A4EDA" w14:paraId="30AF2290" w14:textId="77777777">
        <w:trPr>
          <w:jc w:val="center"/>
        </w:trPr>
        <w:tc>
          <w:tcPr>
            <w:tcW w:w="1872" w:type="dxa"/>
          </w:tcPr>
          <w:p w14:paraId="0882CE6A" w14:textId="77777777" w:rsidR="001A4EDA" w:rsidRDefault="00000000">
            <w:r>
              <w:rPr>
                <w:sz w:val="18"/>
              </w:rPr>
              <w:t>Predictive Maintenance</w:t>
            </w:r>
            <w:r>
              <w:rPr>
                <w:sz w:val="18"/>
              </w:rPr>
              <w:br/>
              <w:t>Governor</w:t>
            </w:r>
          </w:p>
        </w:tc>
        <w:tc>
          <w:tcPr>
            <w:tcW w:w="1152" w:type="dxa"/>
          </w:tcPr>
          <w:p w14:paraId="1D357BCC" w14:textId="77777777" w:rsidR="001A4EDA" w:rsidRDefault="00000000">
            <w:r>
              <w:rPr>
                <w:sz w:val="18"/>
              </w:rPr>
              <w:t>Governor Agent</w:t>
            </w:r>
            <w:r>
              <w:rPr>
                <w:sz w:val="18"/>
              </w:rPr>
              <w:br/>
            </w:r>
            <w:r>
              <w:rPr>
                <w:sz w:val="18"/>
              </w:rPr>
              <w:lastRenderedPageBreak/>
              <w:t>(Operations Domain)</w:t>
            </w:r>
          </w:p>
        </w:tc>
        <w:tc>
          <w:tcPr>
            <w:tcW w:w="2304" w:type="dxa"/>
          </w:tcPr>
          <w:p w14:paraId="27DAF8EF" w14:textId="77777777" w:rsidR="001A4EDA" w:rsidRDefault="00000000">
            <w:r>
              <w:rPr>
                <w:sz w:val="18"/>
              </w:rPr>
              <w:lastRenderedPageBreak/>
              <w:t xml:space="preserve">Governs predictive maintenance across all manufacturing assets. Correlates </w:t>
            </w:r>
            <w:r>
              <w:rPr>
                <w:sz w:val="18"/>
              </w:rPr>
              <w:lastRenderedPageBreak/>
              <w:t>IoT sensor data, vibration analysis, thermal imaging, and production metrics to predict failures. Schedules maintenance within production constraints.</w:t>
            </w:r>
          </w:p>
        </w:tc>
        <w:tc>
          <w:tcPr>
            <w:tcW w:w="2160" w:type="dxa"/>
          </w:tcPr>
          <w:p w14:paraId="168CA8AA" w14:textId="77777777" w:rsidR="001A4EDA" w:rsidRDefault="00000000">
            <w:r>
              <w:rPr>
                <w:sz w:val="18"/>
              </w:rPr>
              <w:lastRenderedPageBreak/>
              <w:t xml:space="preserve">Unplanned downtime costs manufacturers $50B+ annually. </w:t>
            </w:r>
            <w:r>
              <w:rPr>
                <w:sz w:val="18"/>
              </w:rPr>
              <w:lastRenderedPageBreak/>
              <w:t>Predictive maintenance reduces unplanned downtime by 45–50% and maintenance costs by 25–40%. The governance layer ensures maintenance decisions are production-aware, not just condition-aware.</w:t>
            </w:r>
          </w:p>
        </w:tc>
        <w:tc>
          <w:tcPr>
            <w:tcW w:w="2160" w:type="dxa"/>
          </w:tcPr>
          <w:p w14:paraId="2D2F524F" w14:textId="77777777" w:rsidR="001A4EDA" w:rsidRDefault="00000000">
            <w:r>
              <w:rPr>
                <w:sz w:val="18"/>
              </w:rPr>
              <w:lastRenderedPageBreak/>
              <w:t xml:space="preserve">OPC UA (IEC 62541) integration for real-time equipment data. </w:t>
            </w:r>
            <w:r>
              <w:rPr>
                <w:sz w:val="18"/>
              </w:rPr>
              <w:lastRenderedPageBreak/>
              <w:t>MQTT/Sparkplug B for edge sensor data collection. MTConnect for machine tool interoperability. Digital Twin integration via ISO 23247 and Asset Administration Shell (AAS/IEC 63278).</w:t>
            </w:r>
          </w:p>
        </w:tc>
        <w:tc>
          <w:tcPr>
            <w:tcW w:w="2592" w:type="dxa"/>
          </w:tcPr>
          <w:p w14:paraId="0B755E4B" w14:textId="77777777" w:rsidR="001A4EDA" w:rsidRDefault="00000000">
            <w:r>
              <w:rPr>
                <w:sz w:val="18"/>
              </w:rPr>
              <w:lastRenderedPageBreak/>
              <w:t xml:space="preserve">Maintenance decisions are BOSS-scored: a maintenance </w:t>
            </w:r>
            <w:r>
              <w:rPr>
                <w:sz w:val="18"/>
              </w:rPr>
              <w:lastRenderedPageBreak/>
              <w:t>action during peak production scores differently than during planned downtime. The Flight Recorder captures the evidence chain from sensor reading to maintenance decision to outcome—enabling continuous improvement and regulatory compliance.</w:t>
            </w:r>
          </w:p>
        </w:tc>
      </w:tr>
      <w:tr w:rsidR="001A4EDA" w14:paraId="3B8AD401" w14:textId="77777777">
        <w:trPr>
          <w:jc w:val="center"/>
        </w:trPr>
        <w:tc>
          <w:tcPr>
            <w:tcW w:w="1872" w:type="dxa"/>
            <w:shd w:val="clear" w:color="auto" w:fill="F2F5F8"/>
          </w:tcPr>
          <w:p w14:paraId="49CDB472" w14:textId="77777777" w:rsidR="001A4EDA" w:rsidRDefault="00000000">
            <w:r>
              <w:rPr>
                <w:sz w:val="18"/>
              </w:rPr>
              <w:lastRenderedPageBreak/>
              <w:t>Quality Control &amp;</w:t>
            </w:r>
            <w:r>
              <w:rPr>
                <w:sz w:val="18"/>
              </w:rPr>
              <w:br/>
              <w:t>Inspection Agent</w:t>
            </w:r>
          </w:p>
        </w:tc>
        <w:tc>
          <w:tcPr>
            <w:tcW w:w="1152" w:type="dxa"/>
            <w:shd w:val="clear" w:color="auto" w:fill="F2F5F8"/>
          </w:tcPr>
          <w:p w14:paraId="739053DA" w14:textId="77777777" w:rsidR="001A4EDA" w:rsidRDefault="00000000">
            <w:r>
              <w:rPr>
                <w:sz w:val="18"/>
              </w:rPr>
              <w:t>Work Group</w:t>
            </w:r>
            <w:r>
              <w:rPr>
                <w:sz w:val="18"/>
              </w:rPr>
              <w:br/>
              <w:t>(Quality)</w:t>
            </w:r>
          </w:p>
        </w:tc>
        <w:tc>
          <w:tcPr>
            <w:tcW w:w="2304" w:type="dxa"/>
            <w:shd w:val="clear" w:color="auto" w:fill="F2F5F8"/>
          </w:tcPr>
          <w:p w14:paraId="02EDB541" w14:textId="77777777" w:rsidR="001A4EDA" w:rsidRDefault="00000000">
            <w:r>
              <w:rPr>
                <w:sz w:val="18"/>
              </w:rPr>
              <w:t>Automated visual inspection, dimensional measurement, statistical process control (SPC), and quality gate enforcement. Detects defects in real-time using computer vision and correlates with production parameters to identify root causes.</w:t>
            </w:r>
          </w:p>
        </w:tc>
        <w:tc>
          <w:tcPr>
            <w:tcW w:w="2160" w:type="dxa"/>
            <w:shd w:val="clear" w:color="auto" w:fill="F2F5F8"/>
          </w:tcPr>
          <w:p w14:paraId="744F372E" w14:textId="77777777" w:rsidR="001A4EDA" w:rsidRDefault="00000000">
            <w:r>
              <w:rPr>
                <w:sz w:val="18"/>
              </w:rPr>
              <w:t>Quality defects cost manufacturers 15–20% of revenue. Automated inspection catches defects at the point of creation, not at the end of the line. Root cause correlation prevents recurrence.</w:t>
            </w:r>
          </w:p>
        </w:tc>
        <w:tc>
          <w:tcPr>
            <w:tcW w:w="2160" w:type="dxa"/>
            <w:shd w:val="clear" w:color="auto" w:fill="F2F5F8"/>
          </w:tcPr>
          <w:p w14:paraId="1E04E53D" w14:textId="77777777" w:rsidR="001A4EDA" w:rsidRDefault="00000000">
            <w:r>
              <w:rPr>
                <w:sz w:val="18"/>
              </w:rPr>
              <w:t>Computer vision integration with industrial cameras. SPC algorithms with real-time control chart monitoring. Integration with MES for production parameter correlation. ISA-88 batch record integration for pharma/food manufacturing.</w:t>
            </w:r>
          </w:p>
        </w:tc>
        <w:tc>
          <w:tcPr>
            <w:tcW w:w="2592" w:type="dxa"/>
            <w:shd w:val="clear" w:color="auto" w:fill="F2F5F8"/>
          </w:tcPr>
          <w:p w14:paraId="3CDB1393" w14:textId="77777777" w:rsidR="001A4EDA" w:rsidRDefault="00000000">
            <w:r>
              <w:rPr>
                <w:sz w:val="18"/>
              </w:rPr>
              <w:t>Quality gate decisions are BOSS-scored with Regulatory Impact and Financial Exposure dimensions. A quality hold on a production batch is Flight Recorder-evidenced with full traceability from raw material to finished product. Deviations trigger structured exception packets for the Legal Director.</w:t>
            </w:r>
          </w:p>
        </w:tc>
      </w:tr>
      <w:tr w:rsidR="001A4EDA" w14:paraId="25BAC96C" w14:textId="77777777">
        <w:trPr>
          <w:jc w:val="center"/>
        </w:trPr>
        <w:tc>
          <w:tcPr>
            <w:tcW w:w="1872" w:type="dxa"/>
          </w:tcPr>
          <w:p w14:paraId="57F40FE4" w14:textId="77777777" w:rsidR="001A4EDA" w:rsidRDefault="00000000">
            <w:r>
              <w:rPr>
                <w:sz w:val="18"/>
              </w:rPr>
              <w:t>Supply Chain Resilience</w:t>
            </w:r>
            <w:r>
              <w:rPr>
                <w:sz w:val="18"/>
              </w:rPr>
              <w:br/>
              <w:t>Orchestrator</w:t>
            </w:r>
          </w:p>
        </w:tc>
        <w:tc>
          <w:tcPr>
            <w:tcW w:w="1152" w:type="dxa"/>
          </w:tcPr>
          <w:p w14:paraId="49127C63" w14:textId="77777777" w:rsidR="001A4EDA" w:rsidRDefault="00000000">
            <w:r>
              <w:rPr>
                <w:sz w:val="18"/>
              </w:rPr>
              <w:t>Governor Agent</w:t>
            </w:r>
            <w:r>
              <w:rPr>
                <w:sz w:val="18"/>
              </w:rPr>
              <w:br/>
              <w:t>(Supply Chain Domain)</w:t>
            </w:r>
          </w:p>
        </w:tc>
        <w:tc>
          <w:tcPr>
            <w:tcW w:w="2304" w:type="dxa"/>
          </w:tcPr>
          <w:p w14:paraId="653AC4A5" w14:textId="77777777" w:rsidR="001A4EDA" w:rsidRDefault="00000000">
            <w:r>
              <w:rPr>
                <w:sz w:val="18"/>
              </w:rPr>
              <w:t>Governs supply chain operations: demand forecasting, inventory optimization, supplier risk assessment, logistics planning, and disruption response. Integrates with Catena-X/Manufacturing-X data ecosystem for cross-organization visibility.</w:t>
            </w:r>
          </w:p>
        </w:tc>
        <w:tc>
          <w:tcPr>
            <w:tcW w:w="2160" w:type="dxa"/>
          </w:tcPr>
          <w:p w14:paraId="1A96D040" w14:textId="77777777" w:rsidR="001A4EDA" w:rsidRDefault="00000000">
            <w:r>
              <w:rPr>
                <w:sz w:val="18"/>
              </w:rPr>
              <w:t>Supply chain disruptions cost the average manufacturer 6–10% of annual revenue. Autonomous supply chain governance with real-time disruption detection and automated response reduces exposure.</w:t>
            </w:r>
          </w:p>
        </w:tc>
        <w:tc>
          <w:tcPr>
            <w:tcW w:w="2160" w:type="dxa"/>
          </w:tcPr>
          <w:p w14:paraId="26BFE6B7" w14:textId="77777777" w:rsidR="001A4EDA" w:rsidRDefault="00000000">
            <w:r>
              <w:rPr>
                <w:sz w:val="18"/>
              </w:rPr>
              <w:t>Catena-X/Manufacturing-X integration for cross-organization data exchange. Gaia-X/IDS-compliant data sovereignty. Multi-tier supplier risk modeling. Logistics optimization with real-time constraint propagation.</w:t>
            </w:r>
          </w:p>
        </w:tc>
        <w:tc>
          <w:tcPr>
            <w:tcW w:w="2592" w:type="dxa"/>
          </w:tcPr>
          <w:p w14:paraId="2B02CE8D" w14:textId="77777777" w:rsidR="001A4EDA" w:rsidRDefault="00000000">
            <w:r>
              <w:rPr>
                <w:sz w:val="18"/>
              </w:rPr>
              <w:t>Supply chain decisions involving financial commitments are BOSS-scored. Supplier selection involves Sovereignty Action scoring (supply chain sovereignty is weighted 20% in SEAL). The Flight Recorder captures the evidence chain for every procurement decision.</w:t>
            </w:r>
          </w:p>
        </w:tc>
      </w:tr>
      <w:tr w:rsidR="001A4EDA" w14:paraId="48885D90" w14:textId="77777777">
        <w:trPr>
          <w:jc w:val="center"/>
        </w:trPr>
        <w:tc>
          <w:tcPr>
            <w:tcW w:w="1872" w:type="dxa"/>
            <w:shd w:val="clear" w:color="auto" w:fill="F2F5F8"/>
          </w:tcPr>
          <w:p w14:paraId="09CDF1AE" w14:textId="77777777" w:rsidR="001A4EDA" w:rsidRDefault="00000000">
            <w:r>
              <w:rPr>
                <w:sz w:val="18"/>
              </w:rPr>
              <w:lastRenderedPageBreak/>
              <w:t>Production Planning &amp;</w:t>
            </w:r>
            <w:r>
              <w:rPr>
                <w:sz w:val="18"/>
              </w:rPr>
              <w:br/>
            </w:r>
            <w:r>
              <w:rPr>
                <w:sz w:val="18"/>
              </w:rPr>
              <w:t>Scheduling Agent</w:t>
            </w:r>
          </w:p>
        </w:tc>
        <w:tc>
          <w:tcPr>
            <w:tcW w:w="1152" w:type="dxa"/>
            <w:shd w:val="clear" w:color="auto" w:fill="F2F5F8"/>
          </w:tcPr>
          <w:p w14:paraId="3CBD5197" w14:textId="77777777" w:rsidR="001A4EDA" w:rsidRDefault="00000000">
            <w:r>
              <w:rPr>
                <w:sz w:val="18"/>
              </w:rPr>
              <w:t>Work Group</w:t>
            </w:r>
            <w:r>
              <w:rPr>
                <w:sz w:val="18"/>
              </w:rPr>
              <w:br/>
              <w:t>(Planning)</w:t>
            </w:r>
          </w:p>
        </w:tc>
        <w:tc>
          <w:tcPr>
            <w:tcW w:w="2304" w:type="dxa"/>
            <w:shd w:val="clear" w:color="auto" w:fill="F2F5F8"/>
          </w:tcPr>
          <w:p w14:paraId="45EFDC3B" w14:textId="77777777" w:rsidR="001A4EDA" w:rsidRDefault="00000000">
            <w:r>
              <w:rPr>
                <w:sz w:val="18"/>
              </w:rPr>
              <w:t>Autonomous production scheduling with constraint satisfaction: equipment availability, workforce capacity, material availability, energy costs, delivery commitments, and quality requirements. Reschedules dynamically in response to disruptions.</w:t>
            </w:r>
          </w:p>
        </w:tc>
        <w:tc>
          <w:tcPr>
            <w:tcW w:w="2160" w:type="dxa"/>
            <w:shd w:val="clear" w:color="auto" w:fill="F2F5F8"/>
          </w:tcPr>
          <w:p w14:paraId="1DE09D20" w14:textId="77777777" w:rsidR="001A4EDA" w:rsidRDefault="00000000">
            <w:r>
              <w:rPr>
                <w:sz w:val="18"/>
              </w:rPr>
              <w:t>Production scheduling optimization typically delivers 10–15% throughput improvement and 15–20% WIP reduction. Autonomous rescheduling reduces disruption response time from hours to minutes.</w:t>
            </w:r>
          </w:p>
        </w:tc>
        <w:tc>
          <w:tcPr>
            <w:tcW w:w="2160" w:type="dxa"/>
            <w:shd w:val="clear" w:color="auto" w:fill="F2F5F8"/>
          </w:tcPr>
          <w:p w14:paraId="4CF8985C" w14:textId="77777777" w:rsidR="001A4EDA" w:rsidRDefault="00000000">
            <w:r>
              <w:rPr>
                <w:sz w:val="18"/>
              </w:rPr>
              <w:t>Integration with MES (ISA-95 Level 3) and ERP (Level 4). AutomationML (IEC 62714) for engineering data exchange. OPC UA information models for production resource capability and availability.</w:t>
            </w:r>
          </w:p>
        </w:tc>
        <w:tc>
          <w:tcPr>
            <w:tcW w:w="2592" w:type="dxa"/>
            <w:shd w:val="clear" w:color="auto" w:fill="F2F5F8"/>
          </w:tcPr>
          <w:p w14:paraId="77F9E30D" w14:textId="77777777" w:rsidR="001A4EDA" w:rsidRDefault="00000000">
            <w:r>
              <w:rPr>
                <w:sz w:val="18"/>
              </w:rPr>
              <w:t>Scheduling changes with financial or delivery impact are BOSS-scored. Emergency rescheduling during disruptions operates within pre-authorized autonomy budgets. Every scheduling decision is Flight Recorder-evidenced with constraint satisfaction proof.</w:t>
            </w:r>
          </w:p>
        </w:tc>
      </w:tr>
      <w:tr w:rsidR="001A4EDA" w14:paraId="66600CD8" w14:textId="77777777">
        <w:trPr>
          <w:jc w:val="center"/>
        </w:trPr>
        <w:tc>
          <w:tcPr>
            <w:tcW w:w="1872" w:type="dxa"/>
          </w:tcPr>
          <w:p w14:paraId="327A3042" w14:textId="77777777" w:rsidR="001A4EDA" w:rsidRDefault="00000000">
            <w:r>
              <w:rPr>
                <w:sz w:val="18"/>
              </w:rPr>
              <w:t>Energy &amp; Sustainability</w:t>
            </w:r>
            <w:r>
              <w:rPr>
                <w:sz w:val="18"/>
              </w:rPr>
              <w:br/>
              <w:t>Governance Agent</w:t>
            </w:r>
          </w:p>
        </w:tc>
        <w:tc>
          <w:tcPr>
            <w:tcW w:w="1152" w:type="dxa"/>
          </w:tcPr>
          <w:p w14:paraId="149A30BE" w14:textId="77777777" w:rsidR="001A4EDA" w:rsidRDefault="00000000">
            <w:r>
              <w:rPr>
                <w:sz w:val="18"/>
              </w:rPr>
              <w:t>Work Group</w:t>
            </w:r>
            <w:r>
              <w:rPr>
                <w:sz w:val="18"/>
              </w:rPr>
              <w:br/>
              <w:t>(Sustainability)</w:t>
            </w:r>
          </w:p>
        </w:tc>
        <w:tc>
          <w:tcPr>
            <w:tcW w:w="2304" w:type="dxa"/>
          </w:tcPr>
          <w:p w14:paraId="7A4C978D" w14:textId="77777777" w:rsidR="001A4EDA" w:rsidRDefault="00000000">
            <w:r>
              <w:rPr>
                <w:sz w:val="18"/>
              </w:rPr>
              <w:t>Governs energy consumption, carbon emissions tracking, waste reduction, and sustainability reporting. Optimizes production scheduling for energy efficiency. Manages ESG reporting compliance.</w:t>
            </w:r>
          </w:p>
        </w:tc>
        <w:tc>
          <w:tcPr>
            <w:tcW w:w="2160" w:type="dxa"/>
          </w:tcPr>
          <w:p w14:paraId="675EF4B5" w14:textId="77777777" w:rsidR="001A4EDA" w:rsidRDefault="00000000">
            <w:r>
              <w:rPr>
                <w:sz w:val="18"/>
              </w:rPr>
              <w:t>EU sustainability reporting requirements (CSRD) and carbon border adjustment mechanism (CBAM) make sustainability a compliance requirement, not just a corporate initiative. Automated governance ensures accurate reporting and optimization.</w:t>
            </w:r>
          </w:p>
        </w:tc>
        <w:tc>
          <w:tcPr>
            <w:tcW w:w="2160" w:type="dxa"/>
          </w:tcPr>
          <w:p w14:paraId="40DEA097" w14:textId="77777777" w:rsidR="001A4EDA" w:rsidRDefault="00000000">
            <w:r>
              <w:rPr>
                <w:sz w:val="18"/>
              </w:rPr>
              <w:t>Real-time energy monitoring via OPC UA. Carbon emissions calculation per product/batch. Integration with utility demand-response systems. Automated ESG data collection and report generation.</w:t>
            </w:r>
          </w:p>
        </w:tc>
        <w:tc>
          <w:tcPr>
            <w:tcW w:w="2592" w:type="dxa"/>
          </w:tcPr>
          <w:p w14:paraId="37C39CB8" w14:textId="77777777" w:rsidR="001A4EDA" w:rsidRDefault="00000000">
            <w:r>
              <w:rPr>
                <w:sz w:val="18"/>
              </w:rPr>
              <w:t>Sustainability metrics feed BOSS scoring as a governance dimension. ADAM’s Industry 5.0 alignment means sustainability is not an add-on—it is a first-class governance constraint. The Flight Recorder captures sustainability evidence for regulatory reporting.</w:t>
            </w:r>
          </w:p>
        </w:tc>
      </w:tr>
      <w:tr w:rsidR="001A4EDA" w14:paraId="67228535" w14:textId="77777777">
        <w:trPr>
          <w:jc w:val="center"/>
        </w:trPr>
        <w:tc>
          <w:tcPr>
            <w:tcW w:w="1872" w:type="dxa"/>
            <w:shd w:val="clear" w:color="auto" w:fill="F2F5F8"/>
          </w:tcPr>
          <w:p w14:paraId="0DD997AF" w14:textId="77777777" w:rsidR="001A4EDA" w:rsidRDefault="00000000">
            <w:r>
              <w:rPr>
                <w:sz w:val="18"/>
              </w:rPr>
              <w:t>Worker Safety &amp;</w:t>
            </w:r>
            <w:r>
              <w:rPr>
                <w:sz w:val="18"/>
              </w:rPr>
              <w:br/>
              <w:t>Human-Centric Agent</w:t>
            </w:r>
          </w:p>
        </w:tc>
        <w:tc>
          <w:tcPr>
            <w:tcW w:w="1152" w:type="dxa"/>
            <w:shd w:val="clear" w:color="auto" w:fill="F2F5F8"/>
          </w:tcPr>
          <w:p w14:paraId="6F9CC68C" w14:textId="77777777" w:rsidR="001A4EDA" w:rsidRDefault="00000000">
            <w:r>
              <w:rPr>
                <w:sz w:val="18"/>
              </w:rPr>
              <w:t>Work Group</w:t>
            </w:r>
            <w:r>
              <w:rPr>
                <w:sz w:val="18"/>
              </w:rPr>
              <w:br/>
              <w:t>(Safety/HR)</w:t>
            </w:r>
          </w:p>
        </w:tc>
        <w:tc>
          <w:tcPr>
            <w:tcW w:w="2304" w:type="dxa"/>
            <w:shd w:val="clear" w:color="auto" w:fill="F2F5F8"/>
          </w:tcPr>
          <w:p w14:paraId="6C79EEFB" w14:textId="77777777" w:rsidR="001A4EDA" w:rsidRDefault="00000000">
            <w:r>
              <w:rPr>
                <w:sz w:val="18"/>
              </w:rPr>
              <w:t>Monitors worker safety conditions, enforces ergonomic constraints, manages human-robot collaboration zones per EU Machinery Regulation 2023/1230. Tracks workforce skills and manages training requirements.</w:t>
            </w:r>
          </w:p>
        </w:tc>
        <w:tc>
          <w:tcPr>
            <w:tcW w:w="2160" w:type="dxa"/>
            <w:shd w:val="clear" w:color="auto" w:fill="F2F5F8"/>
          </w:tcPr>
          <w:p w14:paraId="1CD1F26C" w14:textId="77777777" w:rsidR="001A4EDA" w:rsidRDefault="00000000">
            <w:r>
              <w:rPr>
                <w:sz w:val="18"/>
              </w:rPr>
              <w:t>Industry 5.0’s human-centric pillar requires active worker wellbeing management. The EU Machinery Regulation 2023/1230 (mandatory January 2027) adds new requirements for AI, cybersecurity, and human-robot collaboration.</w:t>
            </w:r>
          </w:p>
        </w:tc>
        <w:tc>
          <w:tcPr>
            <w:tcW w:w="2160" w:type="dxa"/>
            <w:shd w:val="clear" w:color="auto" w:fill="F2F5F8"/>
          </w:tcPr>
          <w:p w14:paraId="3D4DC79E" w14:textId="77777777" w:rsidR="001A4EDA" w:rsidRDefault="00000000">
            <w:r>
              <w:rPr>
                <w:sz w:val="18"/>
              </w:rPr>
              <w:t>Safety zone monitoring via industrial IoT sensors. Human-robot collaboration governance per ISO 10218 and ISO/TS 15066. Workforce management system integration. EU Machinery Regulation 2023/1230 compliance enforcement.</w:t>
            </w:r>
          </w:p>
        </w:tc>
        <w:tc>
          <w:tcPr>
            <w:tcW w:w="2592" w:type="dxa"/>
            <w:shd w:val="clear" w:color="auto" w:fill="F2F5F8"/>
          </w:tcPr>
          <w:p w14:paraId="6BEFBC95" w14:textId="77777777" w:rsidR="001A4EDA" w:rsidRDefault="00000000">
            <w:r>
              <w:rPr>
                <w:sz w:val="18"/>
              </w:rPr>
              <w:t>Worker safety actions score maximum on BOSS. Any action that could affect worker safety triggers immediate escalation regardless of composite score. The Flight Recorder captures safety evidence for OSHA/EU-OSHA regulatory compliance.</w:t>
            </w:r>
          </w:p>
        </w:tc>
      </w:tr>
      <w:tr w:rsidR="001A4EDA" w14:paraId="1DABC95F" w14:textId="77777777">
        <w:trPr>
          <w:jc w:val="center"/>
        </w:trPr>
        <w:tc>
          <w:tcPr>
            <w:tcW w:w="1872" w:type="dxa"/>
          </w:tcPr>
          <w:p w14:paraId="325D1D71" w14:textId="77777777" w:rsidR="001A4EDA" w:rsidRDefault="00000000">
            <w:r>
              <w:rPr>
                <w:sz w:val="18"/>
              </w:rPr>
              <w:lastRenderedPageBreak/>
              <w:t>Digital Twin Operations</w:t>
            </w:r>
            <w:r>
              <w:rPr>
                <w:sz w:val="18"/>
              </w:rPr>
              <w:br/>
              <w:t>Governor</w:t>
            </w:r>
          </w:p>
        </w:tc>
        <w:tc>
          <w:tcPr>
            <w:tcW w:w="1152" w:type="dxa"/>
          </w:tcPr>
          <w:p w14:paraId="393F5410" w14:textId="77777777" w:rsidR="001A4EDA" w:rsidRDefault="00000000">
            <w:r>
              <w:rPr>
                <w:sz w:val="18"/>
              </w:rPr>
              <w:t>Governor Agent</w:t>
            </w:r>
            <w:r>
              <w:rPr>
                <w:sz w:val="18"/>
              </w:rPr>
              <w:br/>
              <w:t>(Digital Twin Domain)</w:t>
            </w:r>
          </w:p>
        </w:tc>
        <w:tc>
          <w:tcPr>
            <w:tcW w:w="2304" w:type="dxa"/>
          </w:tcPr>
          <w:p w14:paraId="4D88C5C0" w14:textId="77777777" w:rsidR="001A4EDA" w:rsidRDefault="00000000">
            <w:r>
              <w:rPr>
                <w:sz w:val="18"/>
              </w:rPr>
              <w:t>Governs all manufacturing digital twins per ISO 23247. Manages Digital Twin lifecycle: creation, synchronization, simulation, and decommissioning. Ensures data consistency between physical assets and their digital representations.</w:t>
            </w:r>
          </w:p>
        </w:tc>
        <w:tc>
          <w:tcPr>
            <w:tcW w:w="2160" w:type="dxa"/>
          </w:tcPr>
          <w:p w14:paraId="13172BB9" w14:textId="77777777" w:rsidR="001A4EDA" w:rsidRDefault="00000000">
            <w:r>
              <w:rPr>
                <w:sz w:val="18"/>
              </w:rPr>
              <w:t>Manufacturing digital twins enable predictive operations, what-if simulation, and virtual commissioning. Governed digital twins ensure simulation accuracy and prevent decisions based on stale or inconsistent twin state.</w:t>
            </w:r>
          </w:p>
        </w:tc>
        <w:tc>
          <w:tcPr>
            <w:tcW w:w="2160" w:type="dxa"/>
          </w:tcPr>
          <w:p w14:paraId="7AF50AEE" w14:textId="77777777" w:rsidR="001A4EDA" w:rsidRDefault="00000000">
            <w:r>
              <w:rPr>
                <w:sz w:val="18"/>
              </w:rPr>
              <w:t>ISO 23247 compliance (4-layer model: Observable Manufacturing Elements, Digital Entity, Device Communication, User Entities). Asset Administration Shell (AAS/IEC 63278) for standardized digital twin representation. OPC UA for real-time data synchronization.</w:t>
            </w:r>
          </w:p>
        </w:tc>
        <w:tc>
          <w:tcPr>
            <w:tcW w:w="2592" w:type="dxa"/>
          </w:tcPr>
          <w:p w14:paraId="25B14B8B" w14:textId="77777777" w:rsidR="001A4EDA" w:rsidRDefault="00000000">
            <w:r>
              <w:rPr>
                <w:sz w:val="18"/>
              </w:rPr>
              <w:t>Digital Twin accuracy is a governance metric. ADAM’s Digital Twin Control Plane (Digital Twin Control Plane (IV.8)) governs manufacturing twins with BOSS-scored simulation actions. Decisions based on twin data carry a confidence score that affects the overall BOSS assessment.</w:t>
            </w:r>
          </w:p>
        </w:tc>
      </w:tr>
      <w:tr w:rsidR="001A4EDA" w14:paraId="0AE9B431" w14:textId="77777777">
        <w:trPr>
          <w:jc w:val="center"/>
        </w:trPr>
        <w:tc>
          <w:tcPr>
            <w:tcW w:w="1872" w:type="dxa"/>
            <w:shd w:val="clear" w:color="auto" w:fill="F2F5F8"/>
          </w:tcPr>
          <w:p w14:paraId="62590BFD" w14:textId="77777777" w:rsidR="001A4EDA" w:rsidRDefault="00000000">
            <w:r>
              <w:rPr>
                <w:sz w:val="18"/>
              </w:rPr>
              <w:t>Industrial Cybersecurity</w:t>
            </w:r>
            <w:r>
              <w:rPr>
                <w:sz w:val="18"/>
              </w:rPr>
              <w:br/>
              <w:t>Enforcement Agent</w:t>
            </w:r>
          </w:p>
        </w:tc>
        <w:tc>
          <w:tcPr>
            <w:tcW w:w="1152" w:type="dxa"/>
            <w:shd w:val="clear" w:color="auto" w:fill="F2F5F8"/>
          </w:tcPr>
          <w:p w14:paraId="0D2DD7E2" w14:textId="77777777" w:rsidR="001A4EDA" w:rsidRDefault="00000000">
            <w:r>
              <w:rPr>
                <w:sz w:val="18"/>
              </w:rPr>
              <w:t>Work Group</w:t>
            </w:r>
            <w:r>
              <w:rPr>
                <w:sz w:val="18"/>
              </w:rPr>
              <w:br/>
              <w:t>(Security)</w:t>
            </w:r>
          </w:p>
        </w:tc>
        <w:tc>
          <w:tcPr>
            <w:tcW w:w="2304" w:type="dxa"/>
            <w:shd w:val="clear" w:color="auto" w:fill="F2F5F8"/>
          </w:tcPr>
          <w:p w14:paraId="32BFACF4" w14:textId="77777777" w:rsidR="001A4EDA" w:rsidRDefault="00000000">
            <w:r>
              <w:rPr>
                <w:sz w:val="18"/>
              </w:rPr>
              <w:t>Enforces IEC 62443 cybersecurity requirements across all industrial automation and control systems (IACS). Manages security zones, conduits, and security levels per the ISA-95 hierarchy.</w:t>
            </w:r>
          </w:p>
        </w:tc>
        <w:tc>
          <w:tcPr>
            <w:tcW w:w="2160" w:type="dxa"/>
            <w:shd w:val="clear" w:color="auto" w:fill="F2F5F8"/>
          </w:tcPr>
          <w:p w14:paraId="7E5ADACA" w14:textId="77777777" w:rsidR="001A4EDA" w:rsidRDefault="00000000">
            <w:r>
              <w:rPr>
                <w:sz w:val="18"/>
              </w:rPr>
              <w:t>Manufacturing cybersecurity incidents cost an average of $4.73M per breach. IEC 62443 compliance is increasingly mandated. The EU NIS2 Directive classifies manufacturing as essential/important entity.</w:t>
            </w:r>
          </w:p>
        </w:tc>
        <w:tc>
          <w:tcPr>
            <w:tcW w:w="2160" w:type="dxa"/>
            <w:shd w:val="clear" w:color="auto" w:fill="F2F5F8"/>
          </w:tcPr>
          <w:p w14:paraId="7E886287" w14:textId="77777777" w:rsidR="001A4EDA" w:rsidRDefault="00000000">
            <w:r>
              <w:rPr>
                <w:sz w:val="18"/>
              </w:rPr>
              <w:t>IEC 62443 zone/conduit model enforcement. Security level verification across ISA-95 levels. OT network monitoring with anomaly detection. Industrial protocol deep packet inspection (OPC UA, Modbus, EtherNet/IP).</w:t>
            </w:r>
          </w:p>
        </w:tc>
        <w:tc>
          <w:tcPr>
            <w:tcW w:w="2592" w:type="dxa"/>
            <w:shd w:val="clear" w:color="auto" w:fill="F2F5F8"/>
          </w:tcPr>
          <w:p w14:paraId="5138CBA7" w14:textId="77777777" w:rsidR="001A4EDA" w:rsidRDefault="00000000">
            <w:r>
              <w:rPr>
                <w:sz w:val="18"/>
              </w:rPr>
              <w:t>Cybersecurity actions are BOSS-scored at maximum sensitivity (Security Impact = Top/5.0). IEC 62443 compliance is continuously verified, not periodically assessed. Security violations trigger OHSHAT-level escalation with automatic containment.</w:t>
            </w:r>
          </w:p>
        </w:tc>
      </w:tr>
    </w:tbl>
    <w:p w14:paraId="42B26C34" w14:textId="77777777" w:rsidR="001A4EDA" w:rsidRDefault="001A4EDA"/>
    <w:p w14:paraId="51EDEDC4" w14:textId="77777777" w:rsidR="001A4EDA" w:rsidRDefault="00000000">
      <w:r>
        <w:t>The eight manufacturing agents bring the total agent count for a manufacturing deployment to 89. Three Governor Agents—Predictive Maintenance, Supply Chain Resilience, and Digital Twin Operations—sit at the Domain Governance layer, reflecting the three major operational domains of manufacturing. Work Group agents execute within the governance boundaries set by these Governor Agents, the policy engine, and the 5-Director Constitution.</w:t>
      </w:r>
    </w:p>
    <w:p w14:paraId="2FC7611B" w14:textId="77777777" w:rsidR="001A4EDA" w:rsidRDefault="00000000">
      <w:r w:rsidRPr="00E7641F">
        <w:rPr>
          <w:b/>
          <w:bCs/>
        </w:rPr>
        <w:t>A critical manufacturing design principle: safety systems (SIL-rated per IEC 61508) operate independently of ADAM. ADAM monitors safety system state as a governance input but never controls or overrides safety functions.</w:t>
      </w:r>
      <w:r>
        <w:t xml:space="preserve"> This is not a capability limitation—it is a doctrinal constraint. Safety-rated systems are certified for specific failure modes and response times. Inserting an AI governance layer between a safety sensor and its emergency shutdown violates the certification and creates the kind of risk ADAM exists to prevent.</w:t>
      </w:r>
    </w:p>
    <w:tbl>
      <w:tblPr>
        <w:tblW w:w="0" w:type="auto"/>
        <w:jc w:val="center"/>
        <w:tblLook w:val="04A0" w:firstRow="1" w:lastRow="0" w:firstColumn="1" w:lastColumn="0" w:noHBand="0" w:noVBand="1"/>
      </w:tblPr>
      <w:tblGrid>
        <w:gridCol w:w="9360"/>
      </w:tblGrid>
      <w:tr w:rsidR="001A4EDA" w14:paraId="4FF4DA5D" w14:textId="77777777">
        <w:trPr>
          <w:jc w:val="center"/>
        </w:trPr>
        <w:tc>
          <w:tcPr>
            <w:tcW w:w="9360" w:type="dxa"/>
            <w:shd w:val="clear" w:color="auto" w:fill="FFF3E0"/>
          </w:tcPr>
          <w:p w14:paraId="0EE507AD" w14:textId="77777777" w:rsidR="001A4EDA" w:rsidRDefault="00000000">
            <w:r>
              <w:rPr>
                <w:b/>
                <w:color w:val="8B5E00"/>
              </w:rPr>
              <w:t>SCENARIO: NetMakeItX — Supply Chain Disruption Response</w:t>
            </w:r>
          </w:p>
          <w:p w14:paraId="03643A8A" w14:textId="77777777" w:rsidR="001A4EDA" w:rsidRDefault="00000000">
            <w:r>
              <w:rPr>
                <w:sz w:val="20"/>
              </w:rPr>
              <w:lastRenderedPageBreak/>
              <w:t>NetMakeItX’s Factory 2 in Poland sources titanium alloy bar stock from a single Tier 1 supplier in Austria. On a Thursday, the Supply Chain Resilience Orchestrator receives a Catena-X data exchange indicating that the Austrian supplier has declared force majeure due to a facility fire. Current inventory: 12 days of production. Lead time for alternative suppliers: 21–28 days.</w:t>
            </w:r>
          </w:p>
          <w:p w14:paraId="37266692" w14:textId="77777777" w:rsidR="001A4EDA" w:rsidRDefault="00000000">
            <w:r>
              <w:rPr>
                <w:sz w:val="20"/>
              </w:rPr>
              <w:t>BOSS Financial Exposure score: 62 (HIGH tier). BOSS Sovereignty Action score: 48 (ELEVATED tier, triggered by single-source dependency). The exception packet routes to the CFO (financial commitment for emergency procurement) and the Market Director (customer delivery impact).</w:t>
            </w:r>
          </w:p>
          <w:p w14:paraId="5739CFD8" w14:textId="77777777" w:rsidR="001A4EDA" w:rsidRDefault="00000000">
            <w:r>
              <w:rPr>
                <w:sz w:val="20"/>
              </w:rPr>
              <w:t>The Supply Chain Resilience Orchestrator proposes a three-part response: (1) activate pre-qualified backup supplier in Finland with 14-day lead time at 22% price premium, (2) redistribute production across Factories 1 and 3 to extend current inventory to 18 days, (3) negotiate delivery schedule adjustment with the two lowest-priority customers (combined delivery delay: 4 days).</w:t>
            </w:r>
          </w:p>
          <w:p w14:paraId="5FE78562" w14:textId="77777777" w:rsidR="001A4EDA" w:rsidRDefault="00000000">
            <w:r>
              <w:rPr>
                <w:sz w:val="20"/>
              </w:rPr>
              <w:t>The CFO authorizes the emergency procurement (within pre-approved autonomy budget of €500K). The Market Director approves the customer schedule adjustment. The Production Planning &amp; Scheduling Agent recalculates all three factory schedules. Total customer impact: 2 of 14 customers experience a 4-day delay. No production stoppage. No contractual breach. The Flight Recorder captures every decision, every authorization, every supplier communication. The evidence chain is complete before the auditor asks for it</w:t>
            </w:r>
            <w:r>
              <w:rPr>
                <w:sz w:val="20"/>
              </w:rPr>
              <w:t>.</w:t>
            </w:r>
          </w:p>
        </w:tc>
      </w:tr>
    </w:tbl>
    <w:p w14:paraId="7F6A12D9" w14:textId="77777777" w:rsidR="001A4EDA" w:rsidRDefault="001A4EDA"/>
    <w:p w14:paraId="236212B5" w14:textId="77777777" w:rsidR="001A4EDA" w:rsidRDefault="00000000">
      <w:pPr>
        <w:pStyle w:val="Heading2"/>
      </w:pPr>
      <w:bookmarkStart w:id="25" w:name="_Toc227587146"/>
      <w:r>
        <w:t>IV.3 Major Manufacturing Services Enabling Holistic ADAM Operation</w:t>
      </w:r>
      <w:bookmarkEnd w:id="25"/>
    </w:p>
    <w:p w14:paraId="0474779C" w14:textId="77777777" w:rsidR="001A4EDA" w:rsidRDefault="00000000">
      <w:r>
        <w:rPr>
          <w:b/>
          <w:sz w:val="24"/>
        </w:rPr>
        <w:t>Manufacturing services bridge the ISA-95 pyramid with ADAM’s governance model.</w:t>
      </w:r>
    </w:p>
    <w:p w14:paraId="031D4496" w14:textId="77777777" w:rsidR="001A4EDA" w:rsidRDefault="00000000">
      <w:r>
        <w:t xml:space="preserve">Manufacturing operations span the entire ISA-95 hierarchy from Level 0 (physical production) through Level 4 (enterprise ERP). The services defined below provide the integration and governance infrastructure that enables ADAM’s manufacturing agents to operate across all levels while maintaining consistent governance, evidence capture, and policy enforcement. Without these services, manufacturing agents would be isolated within individual ISA-95 levels, unable to correlate a sensor reading at Level 1 with a </w:t>
      </w:r>
      <w:r>
        <w:t>production schedule at Level 4.</w:t>
      </w:r>
    </w:p>
    <w:tbl>
      <w:tblPr>
        <w:tblStyle w:val="TableGrid"/>
        <w:tblW w:w="0" w:type="auto"/>
        <w:jc w:val="center"/>
        <w:tblLook w:val="04A0" w:firstRow="1" w:lastRow="0" w:firstColumn="1" w:lastColumn="0" w:noHBand="0" w:noVBand="1"/>
      </w:tblPr>
      <w:tblGrid>
        <w:gridCol w:w="2349"/>
        <w:gridCol w:w="2828"/>
        <w:gridCol w:w="4173"/>
      </w:tblGrid>
      <w:tr w:rsidR="001A4EDA" w14:paraId="5AB61023" w14:textId="77777777">
        <w:trPr>
          <w:jc w:val="center"/>
        </w:trPr>
        <w:tc>
          <w:tcPr>
            <w:tcW w:w="2880" w:type="dxa"/>
            <w:shd w:val="clear" w:color="auto" w:fill="1F3A5F"/>
          </w:tcPr>
          <w:p w14:paraId="14DCE8B7" w14:textId="77777777" w:rsidR="001A4EDA" w:rsidRDefault="00000000">
            <w:r>
              <w:rPr>
                <w:b/>
                <w:color w:val="FFFFFF"/>
                <w:sz w:val="20"/>
              </w:rPr>
              <w:t>Service</w:t>
            </w:r>
          </w:p>
        </w:tc>
        <w:tc>
          <w:tcPr>
            <w:tcW w:w="3600" w:type="dxa"/>
            <w:shd w:val="clear" w:color="auto" w:fill="1F3A5F"/>
          </w:tcPr>
          <w:p w14:paraId="79D86D20" w14:textId="77777777" w:rsidR="001A4EDA" w:rsidRDefault="00000000">
            <w:r>
              <w:rPr>
                <w:b/>
                <w:color w:val="FFFFFF"/>
                <w:sz w:val="20"/>
              </w:rPr>
              <w:t>Purpose</w:t>
            </w:r>
          </w:p>
        </w:tc>
        <w:tc>
          <w:tcPr>
            <w:tcW w:w="5760" w:type="dxa"/>
            <w:shd w:val="clear" w:color="auto" w:fill="1F3A5F"/>
          </w:tcPr>
          <w:p w14:paraId="7EDF61C0" w14:textId="77777777" w:rsidR="001A4EDA" w:rsidRDefault="00000000">
            <w:r>
              <w:rPr>
                <w:b/>
                <w:color w:val="FFFFFF"/>
                <w:sz w:val="20"/>
              </w:rPr>
              <w:t>Why It Matters for Manufacturing</w:t>
            </w:r>
          </w:p>
        </w:tc>
      </w:tr>
      <w:tr w:rsidR="001A4EDA" w14:paraId="347D450C" w14:textId="77777777">
        <w:trPr>
          <w:jc w:val="center"/>
        </w:trPr>
        <w:tc>
          <w:tcPr>
            <w:tcW w:w="2880" w:type="dxa"/>
          </w:tcPr>
          <w:p w14:paraId="159605A1" w14:textId="77777777" w:rsidR="001A4EDA" w:rsidRDefault="00000000">
            <w:r>
              <w:rPr>
                <w:sz w:val="18"/>
              </w:rPr>
              <w:t>OPC UA Interoperability Gateway</w:t>
            </w:r>
          </w:p>
        </w:tc>
        <w:tc>
          <w:tcPr>
            <w:tcW w:w="3600" w:type="dxa"/>
          </w:tcPr>
          <w:p w14:paraId="3762AF15" w14:textId="77777777" w:rsidR="001A4EDA" w:rsidRDefault="00000000">
            <w:r>
              <w:rPr>
                <w:sz w:val="18"/>
              </w:rPr>
              <w:t>Universal industrial interoperability via OPC UA (IEC 62541). Information model translation, security profile management, and cross-vendor device communication.</w:t>
            </w:r>
          </w:p>
        </w:tc>
        <w:tc>
          <w:tcPr>
            <w:tcW w:w="5760" w:type="dxa"/>
          </w:tcPr>
          <w:p w14:paraId="5FE377F1" w14:textId="77777777" w:rsidR="001A4EDA" w:rsidRDefault="00000000">
            <w:r>
              <w:rPr>
                <w:sz w:val="18"/>
              </w:rPr>
              <w:t>OPC UA is the de facto standard for industrial interoperability. ADAM’s manufacturing agents must communicate with PLCs, SCADA systems, MES, and ERP systems—all through OPC UA’s standardized information models.</w:t>
            </w:r>
          </w:p>
        </w:tc>
      </w:tr>
      <w:tr w:rsidR="001A4EDA" w14:paraId="2AC22938" w14:textId="77777777">
        <w:trPr>
          <w:jc w:val="center"/>
        </w:trPr>
        <w:tc>
          <w:tcPr>
            <w:tcW w:w="2880" w:type="dxa"/>
            <w:shd w:val="clear" w:color="auto" w:fill="F2F5F8"/>
          </w:tcPr>
          <w:p w14:paraId="44CEB7CC" w14:textId="77777777" w:rsidR="001A4EDA" w:rsidRDefault="00000000">
            <w:r>
              <w:rPr>
                <w:sz w:val="18"/>
              </w:rPr>
              <w:t>ISA-95 Integration Service</w:t>
            </w:r>
          </w:p>
        </w:tc>
        <w:tc>
          <w:tcPr>
            <w:tcW w:w="3600" w:type="dxa"/>
            <w:shd w:val="clear" w:color="auto" w:fill="F2F5F8"/>
          </w:tcPr>
          <w:p w14:paraId="496DF02A" w14:textId="77777777" w:rsidR="001A4EDA" w:rsidRDefault="00000000">
            <w:r>
              <w:rPr>
                <w:sz w:val="18"/>
              </w:rPr>
              <w:t>Enterprise-control system integration per ISA-95/IEC 62264. Manages data exchange between Level 3 (MES) and Level 4 (ERP) with ADAM governance.</w:t>
            </w:r>
          </w:p>
        </w:tc>
        <w:tc>
          <w:tcPr>
            <w:tcW w:w="5760" w:type="dxa"/>
            <w:shd w:val="clear" w:color="auto" w:fill="F2F5F8"/>
          </w:tcPr>
          <w:p w14:paraId="19A35A0B" w14:textId="77777777" w:rsidR="001A4EDA" w:rsidRDefault="00000000">
            <w:r>
              <w:rPr>
                <w:sz w:val="18"/>
              </w:rPr>
              <w:t>ISA-95 defines what data crosses the MES-ERP boundary and how. ADAM governs the decisions made with that data: production schedule changes, material requisitions, quality dispositions, and maintenance authorizations.</w:t>
            </w:r>
          </w:p>
        </w:tc>
      </w:tr>
      <w:tr w:rsidR="001A4EDA" w14:paraId="667118B7" w14:textId="77777777">
        <w:trPr>
          <w:jc w:val="center"/>
        </w:trPr>
        <w:tc>
          <w:tcPr>
            <w:tcW w:w="2880" w:type="dxa"/>
          </w:tcPr>
          <w:p w14:paraId="75B41F49" w14:textId="77777777" w:rsidR="001A4EDA" w:rsidRDefault="00000000">
            <w:r>
              <w:rPr>
                <w:sz w:val="18"/>
              </w:rPr>
              <w:lastRenderedPageBreak/>
              <w:t>IEC 62443 Cybersecurity Compliance Service</w:t>
            </w:r>
          </w:p>
        </w:tc>
        <w:tc>
          <w:tcPr>
            <w:tcW w:w="3600" w:type="dxa"/>
          </w:tcPr>
          <w:p w14:paraId="1A211A79" w14:textId="77777777" w:rsidR="001A4EDA" w:rsidRDefault="00000000">
            <w:r>
              <w:rPr>
                <w:sz w:val="18"/>
              </w:rPr>
              <w:t>Continuous enforcement and assessment of IEC 62443 cybersecurity requirements. Zone/conduit management, security level verification, and vulnerability assessment.</w:t>
            </w:r>
          </w:p>
        </w:tc>
        <w:tc>
          <w:tcPr>
            <w:tcW w:w="5760" w:type="dxa"/>
          </w:tcPr>
          <w:p w14:paraId="03015D9E" w14:textId="77777777" w:rsidR="001A4EDA" w:rsidRDefault="00000000">
            <w:r>
              <w:rPr>
                <w:sz w:val="18"/>
              </w:rPr>
              <w:t>IEC 62443 is the horizontal cybersecurity standard for industrial systems. ADAM’s continuous governance model aligns with IEC 62443’s shared responsibility principle.</w:t>
            </w:r>
          </w:p>
        </w:tc>
      </w:tr>
      <w:tr w:rsidR="001A4EDA" w14:paraId="4720F382" w14:textId="77777777">
        <w:trPr>
          <w:jc w:val="center"/>
        </w:trPr>
        <w:tc>
          <w:tcPr>
            <w:tcW w:w="2880" w:type="dxa"/>
            <w:shd w:val="clear" w:color="auto" w:fill="F2F5F8"/>
          </w:tcPr>
          <w:p w14:paraId="1BCE05AB" w14:textId="77777777" w:rsidR="001A4EDA" w:rsidRDefault="00000000">
            <w:r>
              <w:rPr>
                <w:sz w:val="18"/>
              </w:rPr>
              <w:t>Asset Administration Shell (AAS) Service</w:t>
            </w:r>
          </w:p>
        </w:tc>
        <w:tc>
          <w:tcPr>
            <w:tcW w:w="3600" w:type="dxa"/>
            <w:shd w:val="clear" w:color="auto" w:fill="F2F5F8"/>
          </w:tcPr>
          <w:p w14:paraId="49BC2BCA" w14:textId="77777777" w:rsidR="001A4EDA" w:rsidRDefault="00000000">
            <w:r>
              <w:rPr>
                <w:sz w:val="18"/>
              </w:rPr>
              <w:t>Standardized digital representation of manufacturing assets per IEC 63278. Vendor-independent asset lifecycle management from design through decommissioning.</w:t>
            </w:r>
          </w:p>
        </w:tc>
        <w:tc>
          <w:tcPr>
            <w:tcW w:w="5760" w:type="dxa"/>
            <w:shd w:val="clear" w:color="auto" w:fill="F2F5F8"/>
          </w:tcPr>
          <w:p w14:paraId="52E8C6D6" w14:textId="77777777" w:rsidR="001A4EDA" w:rsidRDefault="00000000">
            <w:r>
              <w:rPr>
                <w:sz w:val="18"/>
              </w:rPr>
              <w:t>AAS provides the standardized digital twin implementation that ADAM’s Digital Twin Control Plane requires. Without AAS, digital twins are vendor-specific silos. With AAS, they are interoperable, governed assets.</w:t>
            </w:r>
          </w:p>
        </w:tc>
      </w:tr>
      <w:tr w:rsidR="001A4EDA" w14:paraId="5433FA04" w14:textId="77777777">
        <w:trPr>
          <w:jc w:val="center"/>
        </w:trPr>
        <w:tc>
          <w:tcPr>
            <w:tcW w:w="2880" w:type="dxa"/>
          </w:tcPr>
          <w:p w14:paraId="562A8E0E" w14:textId="77777777" w:rsidR="001A4EDA" w:rsidRDefault="00000000">
            <w:r>
              <w:rPr>
                <w:sz w:val="18"/>
              </w:rPr>
              <w:t>Catena-X / Manufacturing-X Data Exchange Service</w:t>
            </w:r>
          </w:p>
        </w:tc>
        <w:tc>
          <w:tcPr>
            <w:tcW w:w="3600" w:type="dxa"/>
          </w:tcPr>
          <w:p w14:paraId="39988208" w14:textId="77777777" w:rsidR="001A4EDA" w:rsidRDefault="00000000">
            <w:r>
              <w:rPr>
                <w:sz w:val="18"/>
              </w:rPr>
              <w:t>Cross-organization data exchange following Catena-X/Manufacturing-X standards. Gaia-X-compliant data sovereignty. IDS-based data space management.</w:t>
            </w:r>
          </w:p>
        </w:tc>
        <w:tc>
          <w:tcPr>
            <w:tcW w:w="5760" w:type="dxa"/>
          </w:tcPr>
          <w:p w14:paraId="2AC149AB" w14:textId="77777777" w:rsidR="001A4EDA" w:rsidRDefault="00000000">
            <w:r>
              <w:rPr>
                <w:sz w:val="18"/>
              </w:rPr>
              <w:t>Supply chain visibility requires cross-organization data sharing. Catena-X/Manufacturing-X provides the standards; ADAM provides the governance that ensures shared data is authorized, evidenced, and sovereignty-compliant.</w:t>
            </w:r>
          </w:p>
        </w:tc>
      </w:tr>
      <w:tr w:rsidR="001A4EDA" w14:paraId="7EA4E954" w14:textId="77777777">
        <w:trPr>
          <w:jc w:val="center"/>
        </w:trPr>
        <w:tc>
          <w:tcPr>
            <w:tcW w:w="2880" w:type="dxa"/>
            <w:shd w:val="clear" w:color="auto" w:fill="F2F5F8"/>
          </w:tcPr>
          <w:p w14:paraId="690B3D93" w14:textId="77777777" w:rsidR="001A4EDA" w:rsidRDefault="00000000">
            <w:r>
              <w:rPr>
                <w:sz w:val="18"/>
              </w:rPr>
              <w:t>EU Machinery Regulation Compliance Service</w:t>
            </w:r>
          </w:p>
        </w:tc>
        <w:tc>
          <w:tcPr>
            <w:tcW w:w="3600" w:type="dxa"/>
            <w:shd w:val="clear" w:color="auto" w:fill="F2F5F8"/>
          </w:tcPr>
          <w:p w14:paraId="6F460D3C" w14:textId="77777777" w:rsidR="001A4EDA" w:rsidRDefault="00000000">
            <w:r>
              <w:rPr>
                <w:sz w:val="18"/>
              </w:rPr>
              <w:t>Enforcement of EU Regulation 2023/1230 requirements: AI safety, cybersecurity, human-robot collaboration, and functional safety. Digital documentation management.</w:t>
            </w:r>
          </w:p>
        </w:tc>
        <w:tc>
          <w:tcPr>
            <w:tcW w:w="5760" w:type="dxa"/>
            <w:shd w:val="clear" w:color="auto" w:fill="F2F5F8"/>
          </w:tcPr>
          <w:p w14:paraId="6D76B905" w14:textId="77777777" w:rsidR="001A4EDA" w:rsidRDefault="00000000">
            <w:r>
              <w:rPr>
                <w:sz w:val="18"/>
              </w:rPr>
              <w:t>EU Machinery Regulation 2023/1230 becomes mandatory January 2027 with new requirements for AI, cybersecurity, and human-robot collaboration. ADAM’s governance model aligns with the regulation’s risk-based approach.</w:t>
            </w:r>
          </w:p>
        </w:tc>
      </w:tr>
      <w:tr w:rsidR="001A4EDA" w14:paraId="6644D74F" w14:textId="77777777">
        <w:trPr>
          <w:jc w:val="center"/>
        </w:trPr>
        <w:tc>
          <w:tcPr>
            <w:tcW w:w="2880" w:type="dxa"/>
          </w:tcPr>
          <w:p w14:paraId="179826BE" w14:textId="77777777" w:rsidR="001A4EDA" w:rsidRDefault="00000000">
            <w:r>
              <w:rPr>
                <w:sz w:val="18"/>
              </w:rPr>
              <w:t>MQTT/Sparkplug B Edge Gateway</w:t>
            </w:r>
          </w:p>
        </w:tc>
        <w:tc>
          <w:tcPr>
            <w:tcW w:w="3600" w:type="dxa"/>
          </w:tcPr>
          <w:p w14:paraId="4312F7CD" w14:textId="77777777" w:rsidR="001A4EDA" w:rsidRDefault="00000000">
            <w:r>
              <w:rPr>
                <w:sz w:val="18"/>
              </w:rPr>
              <w:t>Industrial IoT messaging integration using MQTT with Sparkplug B specification for real-time sensor data, state-aware device communication, and edge-to-cloud data collection.</w:t>
            </w:r>
          </w:p>
        </w:tc>
        <w:tc>
          <w:tcPr>
            <w:tcW w:w="5760" w:type="dxa"/>
          </w:tcPr>
          <w:p w14:paraId="49B956D4" w14:textId="77777777" w:rsidR="001A4EDA" w:rsidRDefault="00000000">
            <w:r>
              <w:rPr>
                <w:sz w:val="18"/>
              </w:rPr>
              <w:t>Edge sensors generate the data that predictive maintenance, quality control, and energy optimization depend on. Sparkplug B’s state awareness and typed metrics align with ADAM’s requirement for structured, governed data inputs.</w:t>
            </w:r>
          </w:p>
        </w:tc>
      </w:tr>
    </w:tbl>
    <w:p w14:paraId="7A04D8CC" w14:textId="77777777" w:rsidR="001A4EDA" w:rsidRDefault="001A4EDA"/>
    <w:p w14:paraId="26FE07EA" w14:textId="77777777" w:rsidR="001A4EDA" w:rsidRDefault="00000000">
      <w:r>
        <w:t>The service architecture reflects manufacturing’s unique operational topology: data flows upward through the ISA-95 hierarchy (sensor → PLC → SCADA → MES → ERP), governance flows downward (doctrine → policy → constraint → execution boundary), and evidence flows into the Flight Recorder from every level. The OPC UA Interoperability Gateway is the linchpin—it enables ADAM’s agents to speak the language of industrial equipment while the ISA-95 Integration Service ensures that governance decisions at Level 4 ar</w:t>
      </w:r>
      <w:r>
        <w:t>e correctly translated into operational constraints at Level 3 and below.</w:t>
      </w:r>
    </w:p>
    <w:p w14:paraId="7A8274F2" w14:textId="77777777" w:rsidR="001A4EDA" w:rsidRDefault="00000000">
      <w:pPr>
        <w:pStyle w:val="Heading2"/>
      </w:pPr>
      <w:bookmarkStart w:id="26" w:name="_Toc227587147"/>
      <w:r>
        <w:t>IV.4 Manufacturing Architecture Differences from Core ADAM</w:t>
      </w:r>
      <w:bookmarkEnd w:id="26"/>
    </w:p>
    <w:p w14:paraId="79CD590D" w14:textId="77777777" w:rsidR="001A4EDA" w:rsidRDefault="00000000">
      <w:r>
        <w:rPr>
          <w:b/>
          <w:sz w:val="24"/>
        </w:rPr>
        <w:t>The factory floor is not a data center. The architecture must know the difference.</w:t>
      </w:r>
    </w:p>
    <w:p w14:paraId="55DE52B7" w14:textId="77777777" w:rsidR="001A4EDA" w:rsidRDefault="00000000">
      <w:r>
        <w:t xml:space="preserve">Manufacturing ADAM deployments face architectural challenges that no other industry creates: real-time constraints measured in milliseconds, safety-critical systems that cannot tolerate governance latency, edge computing requirements for production-floor agents, and a physical-digital boundary </w:t>
      </w:r>
      <w:r>
        <w:lastRenderedPageBreak/>
        <w:t>where digital decisions have irreversible physical consequences. The architecture modifications below address these challenges while preserving ADAM’s core governance properties.</w:t>
      </w:r>
    </w:p>
    <w:tbl>
      <w:tblPr>
        <w:tblStyle w:val="TableGrid"/>
        <w:tblW w:w="0" w:type="auto"/>
        <w:jc w:val="center"/>
        <w:tblLook w:val="04A0" w:firstRow="1" w:lastRow="0" w:firstColumn="1" w:lastColumn="0" w:noHBand="0" w:noVBand="1"/>
      </w:tblPr>
      <w:tblGrid>
        <w:gridCol w:w="1729"/>
        <w:gridCol w:w="1847"/>
        <w:gridCol w:w="3093"/>
        <w:gridCol w:w="2681"/>
      </w:tblGrid>
      <w:tr w:rsidR="001A4EDA" w14:paraId="6933114F" w14:textId="77777777">
        <w:trPr>
          <w:jc w:val="center"/>
        </w:trPr>
        <w:tc>
          <w:tcPr>
            <w:tcW w:w="1872" w:type="dxa"/>
            <w:shd w:val="clear" w:color="auto" w:fill="1F3A5F"/>
          </w:tcPr>
          <w:p w14:paraId="4D180E39" w14:textId="77777777" w:rsidR="001A4EDA" w:rsidRDefault="00000000">
            <w:r>
              <w:rPr>
                <w:b/>
                <w:color w:val="FFFFFF"/>
                <w:sz w:val="20"/>
              </w:rPr>
              <w:t>Architecture Layer</w:t>
            </w:r>
          </w:p>
        </w:tc>
        <w:tc>
          <w:tcPr>
            <w:tcW w:w="2160" w:type="dxa"/>
            <w:shd w:val="clear" w:color="auto" w:fill="1F3A5F"/>
          </w:tcPr>
          <w:p w14:paraId="2EE66F15" w14:textId="77777777" w:rsidR="001A4EDA" w:rsidRDefault="00000000">
            <w:r>
              <w:rPr>
                <w:b/>
                <w:color w:val="FFFFFF"/>
                <w:sz w:val="20"/>
              </w:rPr>
              <w:t>Core ADAM</w:t>
            </w:r>
          </w:p>
        </w:tc>
        <w:tc>
          <w:tcPr>
            <w:tcW w:w="3600" w:type="dxa"/>
            <w:shd w:val="clear" w:color="auto" w:fill="1F3A5F"/>
          </w:tcPr>
          <w:p w14:paraId="59405251" w14:textId="77777777" w:rsidR="001A4EDA" w:rsidRDefault="00000000">
            <w:r>
              <w:rPr>
                <w:b/>
                <w:color w:val="FFFFFF"/>
                <w:sz w:val="20"/>
              </w:rPr>
              <w:t>Manufacturing-Specific Modification</w:t>
            </w:r>
          </w:p>
        </w:tc>
        <w:tc>
          <w:tcPr>
            <w:tcW w:w="3168" w:type="dxa"/>
            <w:shd w:val="clear" w:color="auto" w:fill="1F3A5F"/>
          </w:tcPr>
          <w:p w14:paraId="13A2D787" w14:textId="77777777" w:rsidR="001A4EDA" w:rsidRDefault="00000000">
            <w:r>
              <w:rPr>
                <w:b/>
                <w:color w:val="FFFFFF"/>
                <w:sz w:val="20"/>
              </w:rPr>
              <w:t>Rationale</w:t>
            </w:r>
          </w:p>
        </w:tc>
      </w:tr>
      <w:tr w:rsidR="001A4EDA" w14:paraId="638A9F67" w14:textId="77777777">
        <w:trPr>
          <w:jc w:val="center"/>
        </w:trPr>
        <w:tc>
          <w:tcPr>
            <w:tcW w:w="1872" w:type="dxa"/>
          </w:tcPr>
          <w:p w14:paraId="672BF789" w14:textId="77777777" w:rsidR="001A4EDA" w:rsidRDefault="00000000">
            <w:r>
              <w:rPr>
                <w:sz w:val="18"/>
              </w:rPr>
              <w:t>Interoperability Plane</w:t>
            </w:r>
          </w:p>
        </w:tc>
        <w:tc>
          <w:tcPr>
            <w:tcW w:w="2160" w:type="dxa"/>
          </w:tcPr>
          <w:p w14:paraId="1CC43BEE" w14:textId="77777777" w:rsidR="001A4EDA" w:rsidRDefault="00000000">
            <w:r>
              <w:rPr>
                <w:sz w:val="18"/>
              </w:rPr>
              <w:t>Generic MCP/A2A integration</w:t>
            </w:r>
          </w:p>
        </w:tc>
        <w:tc>
          <w:tcPr>
            <w:tcW w:w="3600" w:type="dxa"/>
          </w:tcPr>
          <w:p w14:paraId="2F3BE849" w14:textId="77777777" w:rsidR="001A4EDA" w:rsidRDefault="00000000">
            <w:r>
              <w:rPr>
                <w:sz w:val="18"/>
              </w:rPr>
              <w:t>OPC UA (IEC 62541) as primary interop. MQTT/Sparkplug B for edge IoT. MTConnect for machine tools. AutomationML (IEC 62714) for engineering data. ISA-95 Level 3–4 integration.</w:t>
            </w:r>
          </w:p>
        </w:tc>
        <w:tc>
          <w:tcPr>
            <w:tcW w:w="3168" w:type="dxa"/>
          </w:tcPr>
          <w:p w14:paraId="284B15A8" w14:textId="77777777" w:rsidR="001A4EDA" w:rsidRDefault="00000000">
            <w:r>
              <w:rPr>
                <w:sz w:val="18"/>
              </w:rPr>
              <w:t>Manufacturing operates on industrial protocols, not IT APIs. ADAM’s interoperability plane must speak OPC UA, process Sparkplug B telemetry, and integrate with MES/ERP systems.</w:t>
            </w:r>
          </w:p>
        </w:tc>
      </w:tr>
      <w:tr w:rsidR="001A4EDA" w14:paraId="1B6F9A2E" w14:textId="77777777">
        <w:trPr>
          <w:jc w:val="center"/>
        </w:trPr>
        <w:tc>
          <w:tcPr>
            <w:tcW w:w="1872" w:type="dxa"/>
            <w:shd w:val="clear" w:color="auto" w:fill="F2F5F8"/>
          </w:tcPr>
          <w:p w14:paraId="5812164C" w14:textId="77777777" w:rsidR="001A4EDA" w:rsidRDefault="00000000">
            <w:r>
              <w:rPr>
                <w:sz w:val="18"/>
              </w:rPr>
              <w:t>Digital Twin Control Plane</w:t>
            </w:r>
          </w:p>
        </w:tc>
        <w:tc>
          <w:tcPr>
            <w:tcW w:w="2160" w:type="dxa"/>
            <w:shd w:val="clear" w:color="auto" w:fill="F2F5F8"/>
          </w:tcPr>
          <w:p w14:paraId="48EE4052" w14:textId="77777777" w:rsidR="001A4EDA" w:rsidRDefault="00000000">
            <w:r>
              <w:rPr>
                <w:sz w:val="18"/>
              </w:rPr>
              <w:t>4 generic Digital Twins</w:t>
            </w:r>
          </w:p>
        </w:tc>
        <w:tc>
          <w:tcPr>
            <w:tcW w:w="3600" w:type="dxa"/>
            <w:shd w:val="clear" w:color="auto" w:fill="F2F5F8"/>
          </w:tcPr>
          <w:p w14:paraId="7726540A" w14:textId="77777777" w:rsidR="001A4EDA" w:rsidRDefault="00000000">
            <w:r>
              <w:rPr>
                <w:sz w:val="18"/>
              </w:rPr>
              <w:t>Extended with manufacturing-specific twins per ISO 23247: Production Line Twin, Equipment Twin (with AAS/IEC 63278), Supply Chain Twin, and Energy/Sustainability Twin.</w:t>
            </w:r>
          </w:p>
        </w:tc>
        <w:tc>
          <w:tcPr>
            <w:tcW w:w="3168" w:type="dxa"/>
            <w:shd w:val="clear" w:color="auto" w:fill="F2F5F8"/>
          </w:tcPr>
          <w:p w14:paraId="14730410" w14:textId="77777777" w:rsidR="001A4EDA" w:rsidRDefault="00000000">
            <w:r>
              <w:rPr>
                <w:sz w:val="18"/>
              </w:rPr>
              <w:t>Manufacturing digital twins model physical assets and production processes. ISO 23247 and AAS provide the standardization; ADAM provides the governance.</w:t>
            </w:r>
          </w:p>
        </w:tc>
      </w:tr>
      <w:tr w:rsidR="001A4EDA" w14:paraId="26650E6C" w14:textId="77777777">
        <w:trPr>
          <w:jc w:val="center"/>
        </w:trPr>
        <w:tc>
          <w:tcPr>
            <w:tcW w:w="1872" w:type="dxa"/>
          </w:tcPr>
          <w:p w14:paraId="237A8B50" w14:textId="77777777" w:rsidR="001A4EDA" w:rsidRDefault="00000000">
            <w:r>
              <w:rPr>
                <w:sz w:val="18"/>
              </w:rPr>
              <w:t>Security &amp; Trust Plane</w:t>
            </w:r>
          </w:p>
        </w:tc>
        <w:tc>
          <w:tcPr>
            <w:tcW w:w="2160" w:type="dxa"/>
          </w:tcPr>
          <w:p w14:paraId="2F3F432C" w14:textId="76AE7A5C" w:rsidR="001A4EDA" w:rsidRDefault="00000000">
            <w:r>
              <w:rPr>
                <w:sz w:val="18"/>
              </w:rPr>
              <w:t xml:space="preserve">Standard </w:t>
            </w:r>
            <w:r w:rsidR="00430777">
              <w:rPr>
                <w:sz w:val="18"/>
              </w:rPr>
              <w:t>AGT</w:t>
            </w:r>
            <w:r>
              <w:rPr>
                <w:sz w:val="18"/>
              </w:rPr>
              <w:t xml:space="preserve"> integration</w:t>
            </w:r>
          </w:p>
        </w:tc>
        <w:tc>
          <w:tcPr>
            <w:tcW w:w="3600" w:type="dxa"/>
          </w:tcPr>
          <w:p w14:paraId="2900B0EC" w14:textId="77777777" w:rsidR="001A4EDA" w:rsidRDefault="00000000">
            <w:r>
              <w:rPr>
                <w:sz w:val="18"/>
              </w:rPr>
              <w:t>Extended with IEC 62443 zone/conduit model. OT-specific threat detection. Air-gapped safety system protection. Physical-digital boundary security.</w:t>
            </w:r>
          </w:p>
        </w:tc>
        <w:tc>
          <w:tcPr>
            <w:tcW w:w="3168" w:type="dxa"/>
          </w:tcPr>
          <w:p w14:paraId="1A902195" w14:textId="77777777" w:rsidR="001A4EDA" w:rsidRDefault="00000000">
            <w:r>
              <w:rPr>
                <w:sz w:val="18"/>
              </w:rPr>
              <w:t>Manufacturing security includes OT/ICS environments with real-time constraints and safety implications. IT security patterns do not directly apply to Level 0–2 systems.</w:t>
            </w:r>
          </w:p>
        </w:tc>
      </w:tr>
      <w:tr w:rsidR="001A4EDA" w14:paraId="20F4291E" w14:textId="77777777">
        <w:trPr>
          <w:jc w:val="center"/>
        </w:trPr>
        <w:tc>
          <w:tcPr>
            <w:tcW w:w="1872" w:type="dxa"/>
            <w:shd w:val="clear" w:color="auto" w:fill="F2F5F8"/>
          </w:tcPr>
          <w:p w14:paraId="0DE70F0B" w14:textId="77777777" w:rsidR="001A4EDA" w:rsidRDefault="00000000">
            <w:r>
              <w:rPr>
                <w:sz w:val="18"/>
              </w:rPr>
              <w:t>Agent Mesh</w:t>
            </w:r>
          </w:p>
        </w:tc>
        <w:tc>
          <w:tcPr>
            <w:tcW w:w="2160" w:type="dxa"/>
            <w:shd w:val="clear" w:color="auto" w:fill="F2F5F8"/>
          </w:tcPr>
          <w:p w14:paraId="7438C93F" w14:textId="77777777" w:rsidR="001A4EDA" w:rsidRDefault="00000000">
            <w:r>
              <w:rPr>
                <w:sz w:val="18"/>
              </w:rPr>
              <w:t>81 agents across 5 layers</w:t>
            </w:r>
          </w:p>
        </w:tc>
        <w:tc>
          <w:tcPr>
            <w:tcW w:w="3600" w:type="dxa"/>
            <w:shd w:val="clear" w:color="auto" w:fill="F2F5F8"/>
          </w:tcPr>
          <w:p w14:paraId="418D7531" w14:textId="77777777" w:rsidR="001A4EDA" w:rsidRDefault="00000000">
            <w:r>
              <w:rPr>
                <w:sz w:val="18"/>
              </w:rPr>
              <w:t xml:space="preserve">Extended with 8 manufacturing-specific agents (defined in IV.2) integrated into existing layers. Total: 89 agents. </w:t>
            </w:r>
            <w:r w:rsidRPr="00E132D5">
              <w:rPr>
                <w:b/>
                <w:bCs/>
                <w:sz w:val="18"/>
              </w:rPr>
              <w:t>Edge agent deployment for latency-sensitive production decisions.</w:t>
            </w:r>
          </w:p>
        </w:tc>
        <w:tc>
          <w:tcPr>
            <w:tcW w:w="3168" w:type="dxa"/>
            <w:shd w:val="clear" w:color="auto" w:fill="F2F5F8"/>
          </w:tcPr>
          <w:p w14:paraId="6AD5A3A7" w14:textId="77777777" w:rsidR="001A4EDA" w:rsidRDefault="00000000">
            <w:r>
              <w:rPr>
                <w:sz w:val="18"/>
              </w:rPr>
              <w:t>Manufacturing decisions often have real-time constraints. Some agents must run at the edge, close to production equipment, while maintaining governance connectivity to the core ADAM mesh.</w:t>
            </w:r>
          </w:p>
        </w:tc>
      </w:tr>
      <w:tr w:rsidR="001A4EDA" w14:paraId="20164A1C" w14:textId="77777777">
        <w:trPr>
          <w:jc w:val="center"/>
        </w:trPr>
        <w:tc>
          <w:tcPr>
            <w:tcW w:w="1872" w:type="dxa"/>
          </w:tcPr>
          <w:p w14:paraId="51DA29A8" w14:textId="77777777" w:rsidR="001A4EDA" w:rsidRDefault="00000000">
            <w:r>
              <w:rPr>
                <w:sz w:val="18"/>
              </w:rPr>
              <w:t>Policy &amp; Risk Plane</w:t>
            </w:r>
          </w:p>
        </w:tc>
        <w:tc>
          <w:tcPr>
            <w:tcW w:w="2160" w:type="dxa"/>
          </w:tcPr>
          <w:p w14:paraId="397CEFFE" w14:textId="77777777" w:rsidR="001A4EDA" w:rsidRDefault="00000000">
            <w:r>
              <w:rPr>
                <w:sz w:val="18"/>
              </w:rPr>
              <w:t>Generic policy engine</w:t>
            </w:r>
          </w:p>
        </w:tc>
        <w:tc>
          <w:tcPr>
            <w:tcW w:w="3600" w:type="dxa"/>
          </w:tcPr>
          <w:p w14:paraId="090FB493" w14:textId="77777777" w:rsidR="001A4EDA" w:rsidRDefault="00000000">
            <w:r>
              <w:rPr>
                <w:sz w:val="18"/>
              </w:rPr>
              <w:t>Extended with safety-critical policies (SIL levels per IEC 61508), environmental compliance policies, labor law enforcement, and production quality policies.</w:t>
            </w:r>
          </w:p>
        </w:tc>
        <w:tc>
          <w:tcPr>
            <w:tcW w:w="3168" w:type="dxa"/>
          </w:tcPr>
          <w:p w14:paraId="3A8F21F3" w14:textId="77777777" w:rsidR="001A4EDA" w:rsidRDefault="00000000">
            <w:r>
              <w:rPr>
                <w:sz w:val="18"/>
              </w:rPr>
              <w:t>Manufacturing policy spans safety (life-threatening), environmental (regulatory), quality (commercial), and labor (legal). ADAM’s policy engine must enforce all categories simultaneously.</w:t>
            </w:r>
          </w:p>
        </w:tc>
      </w:tr>
    </w:tbl>
    <w:p w14:paraId="1225DE0E" w14:textId="77777777" w:rsidR="001A4EDA" w:rsidRDefault="001A4EDA"/>
    <w:p w14:paraId="51C4764F" w14:textId="77777777" w:rsidR="001A4EDA" w:rsidRDefault="00000000">
      <w:r>
        <w:t>The most significant architectural difference in manufacturing is edge deployment. Core ADAM assumes cloud-primary deployment with sub-second governance decisions. Manufacturing requires governance decisions in milliseconds for production-floor agents. The solution: edge agents operate with pre-evaluated policy caches that enable &lt;1ms decisions, with asynchronous policy updates from the core ADAM mesh. Stale policy triggers safe-mode operation—the agent stops making autonomous decisions and escalates—rather</w:t>
      </w:r>
      <w:r>
        <w:t xml:space="preserve"> than continued execution with outdated governance constraints. This design preserves the safety guarantee while enabling the real-time performance that manufacturing demands.</w:t>
      </w:r>
    </w:p>
    <w:p w14:paraId="78FB8984" w14:textId="70477794" w:rsidR="001A4EDA" w:rsidRDefault="00000000">
      <w:pPr>
        <w:pStyle w:val="Heading2"/>
      </w:pPr>
      <w:bookmarkStart w:id="27" w:name="_Toc227587148"/>
      <w:r>
        <w:lastRenderedPageBreak/>
        <w:t xml:space="preserve">IV.5 Manufacturing Security: </w:t>
      </w:r>
      <w:r w:rsidR="00430777">
        <w:t>AGT</w:t>
      </w:r>
      <w:r>
        <w:t xml:space="preserve"> Integration and IEC 62443</w:t>
      </w:r>
      <w:bookmarkEnd w:id="27"/>
    </w:p>
    <w:p w14:paraId="64D77E78" w14:textId="67445A0C" w:rsidR="001A4EDA" w:rsidRDefault="00000000">
      <w:r>
        <w:rPr>
          <w:b/>
          <w:sz w:val="24"/>
        </w:rPr>
        <w:t>OT security is a different threat model</w:t>
      </w:r>
      <w:r w:rsidR="00BA1745">
        <w:rPr>
          <w:b/>
          <w:sz w:val="24"/>
        </w:rPr>
        <w:t xml:space="preserve"> than IT security</w:t>
      </w:r>
      <w:r>
        <w:rPr>
          <w:b/>
          <w:sz w:val="24"/>
        </w:rPr>
        <w:t>.</w:t>
      </w:r>
    </w:p>
    <w:p w14:paraId="3A1BA2A0" w14:textId="050A1D85" w:rsidR="001A4EDA" w:rsidRDefault="00000000">
      <w:r>
        <w:t>Manufacturing cybersecurity operates in a fundamentally different threat landscape than IT security. The targets are not data—they are physical processes. A compromised PLC can damage equipment, harm workers, or produce defective products that endanger end users. The IEC 62443 standard series addresses this with a defense-in-depth model: zones, conduits, and security levels across the ISA-95 hierarchy. ADAM integrates IEC 62443 as a governance requirement, enforced by the Industrial Cybersecurity Enforcemen</w:t>
      </w:r>
      <w:r>
        <w:t xml:space="preserve">t Agent and the </w:t>
      </w:r>
      <w:r w:rsidR="00430777">
        <w:t>AGT</w:t>
      </w:r>
      <w:r>
        <w:t xml:space="preserve"> runtime.</w:t>
      </w:r>
    </w:p>
    <w:tbl>
      <w:tblPr>
        <w:tblStyle w:val="TableGrid"/>
        <w:tblW w:w="0" w:type="auto"/>
        <w:jc w:val="center"/>
        <w:tblLook w:val="04A0" w:firstRow="1" w:lastRow="0" w:firstColumn="1" w:lastColumn="0" w:noHBand="0" w:noVBand="1"/>
      </w:tblPr>
      <w:tblGrid>
        <w:gridCol w:w="1681"/>
        <w:gridCol w:w="1920"/>
        <w:gridCol w:w="3047"/>
        <w:gridCol w:w="2702"/>
      </w:tblGrid>
      <w:tr w:rsidR="001A4EDA" w14:paraId="69DB75C8" w14:textId="77777777">
        <w:trPr>
          <w:jc w:val="center"/>
        </w:trPr>
        <w:tc>
          <w:tcPr>
            <w:tcW w:w="1872" w:type="dxa"/>
            <w:shd w:val="clear" w:color="auto" w:fill="1F3A5F"/>
          </w:tcPr>
          <w:p w14:paraId="513AB694" w14:textId="77777777" w:rsidR="001A4EDA" w:rsidRDefault="00000000">
            <w:r>
              <w:rPr>
                <w:b/>
                <w:color w:val="FFFFFF"/>
                <w:sz w:val="20"/>
              </w:rPr>
              <w:t>Security Domain</w:t>
            </w:r>
          </w:p>
        </w:tc>
        <w:tc>
          <w:tcPr>
            <w:tcW w:w="2160" w:type="dxa"/>
            <w:shd w:val="clear" w:color="auto" w:fill="1F3A5F"/>
          </w:tcPr>
          <w:p w14:paraId="547B3F87" w14:textId="5AAA9D6C" w:rsidR="001A4EDA" w:rsidRDefault="00000000">
            <w:r>
              <w:rPr>
                <w:b/>
                <w:color w:val="FFFFFF"/>
                <w:sz w:val="20"/>
              </w:rPr>
              <w:t xml:space="preserve">Core ADAM + </w:t>
            </w:r>
            <w:r w:rsidR="00430777">
              <w:rPr>
                <w:b/>
                <w:color w:val="FFFFFF"/>
                <w:sz w:val="20"/>
              </w:rPr>
              <w:t>AGT</w:t>
            </w:r>
          </w:p>
        </w:tc>
        <w:tc>
          <w:tcPr>
            <w:tcW w:w="3600" w:type="dxa"/>
            <w:shd w:val="clear" w:color="auto" w:fill="1F3A5F"/>
          </w:tcPr>
          <w:p w14:paraId="1741103D" w14:textId="77777777" w:rsidR="001A4EDA" w:rsidRDefault="00000000">
            <w:r>
              <w:rPr>
                <w:b/>
                <w:color w:val="FFFFFF"/>
                <w:sz w:val="20"/>
              </w:rPr>
              <w:t>Manufacturing Extension</w:t>
            </w:r>
          </w:p>
        </w:tc>
        <w:tc>
          <w:tcPr>
            <w:tcW w:w="3168" w:type="dxa"/>
            <w:shd w:val="clear" w:color="auto" w:fill="1F3A5F"/>
          </w:tcPr>
          <w:p w14:paraId="3618A0BE" w14:textId="0C51BA45" w:rsidR="001A4EDA" w:rsidRDefault="00430777">
            <w:r>
              <w:rPr>
                <w:b/>
                <w:color w:val="FFFFFF"/>
                <w:sz w:val="20"/>
              </w:rPr>
              <w:t>AGT Policy Configuration</w:t>
            </w:r>
          </w:p>
        </w:tc>
      </w:tr>
      <w:tr w:rsidR="001A4EDA" w14:paraId="3CA9C8F4" w14:textId="77777777">
        <w:trPr>
          <w:jc w:val="center"/>
        </w:trPr>
        <w:tc>
          <w:tcPr>
            <w:tcW w:w="1872" w:type="dxa"/>
          </w:tcPr>
          <w:p w14:paraId="234274EA" w14:textId="77777777" w:rsidR="001A4EDA" w:rsidRDefault="00000000">
            <w:r>
              <w:rPr>
                <w:sz w:val="18"/>
              </w:rPr>
              <w:t>Network Architecture</w:t>
            </w:r>
          </w:p>
        </w:tc>
        <w:tc>
          <w:tcPr>
            <w:tcW w:w="2160" w:type="dxa"/>
          </w:tcPr>
          <w:p w14:paraId="478C0721" w14:textId="77777777" w:rsidR="001A4EDA" w:rsidRDefault="00000000">
            <w:r>
              <w:rPr>
                <w:sz w:val="18"/>
              </w:rPr>
              <w:t>Standard Zero Trust</w:t>
            </w:r>
          </w:p>
        </w:tc>
        <w:tc>
          <w:tcPr>
            <w:tcW w:w="3600" w:type="dxa"/>
          </w:tcPr>
          <w:p w14:paraId="61FA59D3" w14:textId="77777777" w:rsidR="001A4EDA" w:rsidRDefault="00000000">
            <w:r>
              <w:rPr>
                <w:sz w:val="18"/>
              </w:rPr>
              <w:t>IEC 62443 zone/conduit model overlaid on ISA-95 hierarchy. Safety systems (SIL-rated) in isolated zones with air-gap enforcement. IT/OT convergence managed at Level 3 (MES) with strict boundary controls.</w:t>
            </w:r>
          </w:p>
        </w:tc>
        <w:tc>
          <w:tcPr>
            <w:tcW w:w="3168" w:type="dxa"/>
          </w:tcPr>
          <w:p w14:paraId="5C54CF83" w14:textId="24D5A50D" w:rsidR="001A4EDA" w:rsidRDefault="00430777">
            <w:r>
              <w:rPr>
                <w:sz w:val="18"/>
              </w:rPr>
              <w:t>AGT execution rings map to ISA-95 levels: Ring 0 for safety systems (Level 0–1), Ring 1 for control systems (Level 2), Ring 2 for MES (Level 3), Ring 3 for ERP (Level 4). Cross-ring access requires BOSS authorization.</w:t>
            </w:r>
          </w:p>
        </w:tc>
      </w:tr>
      <w:tr w:rsidR="001A4EDA" w14:paraId="3CB7BDB9" w14:textId="77777777">
        <w:trPr>
          <w:jc w:val="center"/>
        </w:trPr>
        <w:tc>
          <w:tcPr>
            <w:tcW w:w="1872" w:type="dxa"/>
            <w:shd w:val="clear" w:color="auto" w:fill="F2F5F8"/>
          </w:tcPr>
          <w:p w14:paraId="588F15DA" w14:textId="77777777" w:rsidR="001A4EDA" w:rsidRDefault="00000000">
            <w:r>
              <w:rPr>
                <w:sz w:val="18"/>
              </w:rPr>
              <w:t>Agent Identity</w:t>
            </w:r>
          </w:p>
        </w:tc>
        <w:tc>
          <w:tcPr>
            <w:tcW w:w="2160" w:type="dxa"/>
            <w:shd w:val="clear" w:color="auto" w:fill="F2F5F8"/>
          </w:tcPr>
          <w:p w14:paraId="0446248A" w14:textId="77777777" w:rsidR="001A4EDA" w:rsidRDefault="00000000">
            <w:r>
              <w:rPr>
                <w:sz w:val="18"/>
              </w:rPr>
              <w:t>DID-based cryptographic identity</w:t>
            </w:r>
          </w:p>
        </w:tc>
        <w:tc>
          <w:tcPr>
            <w:tcW w:w="3600" w:type="dxa"/>
            <w:shd w:val="clear" w:color="auto" w:fill="F2F5F8"/>
          </w:tcPr>
          <w:p w14:paraId="11F47B88" w14:textId="617724B6" w:rsidR="001A4EDA" w:rsidRDefault="00000000">
            <w:r>
              <w:rPr>
                <w:sz w:val="18"/>
              </w:rPr>
              <w:t xml:space="preserve">Extended with equipment certificates and OPC UA application instance certificates. Manufacturing agents carry both </w:t>
            </w:r>
            <w:r w:rsidR="00430777">
              <w:rPr>
                <w:sz w:val="18"/>
              </w:rPr>
              <w:t>AGT</w:t>
            </w:r>
            <w:r>
              <w:rPr>
                <w:sz w:val="18"/>
              </w:rPr>
              <w:t xml:space="preserve"> DID and OPC UA security credentials.</w:t>
            </w:r>
          </w:p>
        </w:tc>
        <w:tc>
          <w:tcPr>
            <w:tcW w:w="3168" w:type="dxa"/>
            <w:shd w:val="clear" w:color="auto" w:fill="F2F5F8"/>
          </w:tcPr>
          <w:p w14:paraId="6B33C920" w14:textId="45B1CD59" w:rsidR="001A4EDA" w:rsidRDefault="00430777">
            <w:r>
              <w:rPr>
                <w:sz w:val="18"/>
              </w:rPr>
              <w:t>AGT Agent Mesh: manufacturing agents authenticated via both DID and OPC UA security profiles. Trust scores incorporate equipment certification status and maintenance history.</w:t>
            </w:r>
          </w:p>
        </w:tc>
      </w:tr>
      <w:tr w:rsidR="001A4EDA" w14:paraId="13AC27EA" w14:textId="77777777">
        <w:trPr>
          <w:jc w:val="center"/>
        </w:trPr>
        <w:tc>
          <w:tcPr>
            <w:tcW w:w="1872" w:type="dxa"/>
          </w:tcPr>
          <w:p w14:paraId="6FF627AA" w14:textId="77777777" w:rsidR="001A4EDA" w:rsidRDefault="00000000">
            <w:r>
              <w:rPr>
                <w:sz w:val="18"/>
              </w:rPr>
              <w:t>Real-Time Constraints</w:t>
            </w:r>
          </w:p>
        </w:tc>
        <w:tc>
          <w:tcPr>
            <w:tcW w:w="2160" w:type="dxa"/>
          </w:tcPr>
          <w:p w14:paraId="515C8D35" w14:textId="77777777" w:rsidR="001A4EDA" w:rsidRDefault="00000000">
            <w:r>
              <w:rPr>
                <w:sz w:val="18"/>
              </w:rPr>
              <w:t>Sub-millisecond policy checks</w:t>
            </w:r>
          </w:p>
        </w:tc>
        <w:tc>
          <w:tcPr>
            <w:tcW w:w="3600" w:type="dxa"/>
          </w:tcPr>
          <w:p w14:paraId="66A20C2F" w14:textId="77777777" w:rsidR="001A4EDA" w:rsidRDefault="00000000">
            <w:r>
              <w:rPr>
                <w:sz w:val="18"/>
              </w:rPr>
              <w:t>Safety-critical decisions use pre-evaluated policy caches at the edge to meet real-time requirements. Policy cache invalidation governed by ADAM with failsafe defaults.</w:t>
            </w:r>
          </w:p>
        </w:tc>
        <w:tc>
          <w:tcPr>
            <w:tcW w:w="3168" w:type="dxa"/>
          </w:tcPr>
          <w:p w14:paraId="71BA506C" w14:textId="46FA4B09" w:rsidR="001A4EDA" w:rsidRDefault="00430777">
            <w:r>
              <w:rPr>
                <w:sz w:val="18"/>
              </w:rPr>
              <w:t>AGT Agent Runtime: edge agents operate with cached policy for &lt;1ms decisions. Policy updates propagated asynchronously with version verification. Stale policy triggers safe-mode operation, not continued execution.</w:t>
            </w:r>
          </w:p>
        </w:tc>
      </w:tr>
      <w:tr w:rsidR="001A4EDA" w14:paraId="59BBB670" w14:textId="77777777">
        <w:trPr>
          <w:jc w:val="center"/>
        </w:trPr>
        <w:tc>
          <w:tcPr>
            <w:tcW w:w="1872" w:type="dxa"/>
            <w:shd w:val="clear" w:color="auto" w:fill="F2F5F8"/>
          </w:tcPr>
          <w:p w14:paraId="4E83E60B" w14:textId="77777777" w:rsidR="001A4EDA" w:rsidRDefault="00000000">
            <w:r>
              <w:rPr>
                <w:sz w:val="18"/>
              </w:rPr>
              <w:t>Safety Systems</w:t>
            </w:r>
          </w:p>
        </w:tc>
        <w:tc>
          <w:tcPr>
            <w:tcW w:w="2160" w:type="dxa"/>
            <w:shd w:val="clear" w:color="auto" w:fill="F2F5F8"/>
          </w:tcPr>
          <w:p w14:paraId="351D0A04" w14:textId="77777777" w:rsidR="001A4EDA" w:rsidRDefault="00000000">
            <w:r>
              <w:rPr>
                <w:sz w:val="18"/>
              </w:rPr>
              <w:t>Not in core ADAM</w:t>
            </w:r>
          </w:p>
        </w:tc>
        <w:tc>
          <w:tcPr>
            <w:tcW w:w="3600" w:type="dxa"/>
            <w:shd w:val="clear" w:color="auto" w:fill="F2F5F8"/>
          </w:tcPr>
          <w:p w14:paraId="36160303" w14:textId="77777777" w:rsidR="001A4EDA" w:rsidRDefault="00000000">
            <w:r>
              <w:rPr>
                <w:sz w:val="18"/>
              </w:rPr>
              <w:t>SIL-rated safety systems per IEC 61508 operate independently of ADAM. ADAM monitors but does not control safety functions. Safety system state is a governance input, not a governance output.</w:t>
            </w:r>
          </w:p>
        </w:tc>
        <w:tc>
          <w:tcPr>
            <w:tcW w:w="3168" w:type="dxa"/>
            <w:shd w:val="clear" w:color="auto" w:fill="F2F5F8"/>
          </w:tcPr>
          <w:p w14:paraId="057E4F7A" w14:textId="0392AF24" w:rsidR="001A4EDA" w:rsidRDefault="00430777">
            <w:r>
              <w:rPr>
                <w:sz w:val="18"/>
              </w:rPr>
              <w:t>AGT policy: agents cannot override, bypass, or disable safety-rated systems. Any agent action that would affect safety system state triggers OHSHAT-level escalation regardless of BOSS composite score.</w:t>
            </w:r>
          </w:p>
        </w:tc>
      </w:tr>
      <w:tr w:rsidR="001A4EDA" w14:paraId="37E14052" w14:textId="77777777">
        <w:trPr>
          <w:jc w:val="center"/>
        </w:trPr>
        <w:tc>
          <w:tcPr>
            <w:tcW w:w="1872" w:type="dxa"/>
          </w:tcPr>
          <w:p w14:paraId="1152CC98" w14:textId="77777777" w:rsidR="001A4EDA" w:rsidRDefault="00000000">
            <w:r>
              <w:rPr>
                <w:sz w:val="18"/>
              </w:rPr>
              <w:t>Physical-Digital Boundary</w:t>
            </w:r>
          </w:p>
        </w:tc>
        <w:tc>
          <w:tcPr>
            <w:tcW w:w="2160" w:type="dxa"/>
          </w:tcPr>
          <w:p w14:paraId="307F97E5" w14:textId="77777777" w:rsidR="001A4EDA" w:rsidRDefault="00000000">
            <w:r>
              <w:rPr>
                <w:sz w:val="18"/>
              </w:rPr>
              <w:t>Not in core ADAM</w:t>
            </w:r>
          </w:p>
        </w:tc>
        <w:tc>
          <w:tcPr>
            <w:tcW w:w="3600" w:type="dxa"/>
          </w:tcPr>
          <w:p w14:paraId="29F2FA45" w14:textId="77777777" w:rsidR="001A4EDA" w:rsidRDefault="00000000">
            <w:r>
              <w:rPr>
                <w:sz w:val="18"/>
              </w:rPr>
              <w:t>Manufacturing agents that control physical actuators (robots, conveyors, heaters) operate under additional constraints: physical state verification before action, human-in-proximity detection, and energy-state monitoring.</w:t>
            </w:r>
          </w:p>
        </w:tc>
        <w:tc>
          <w:tcPr>
            <w:tcW w:w="3168" w:type="dxa"/>
          </w:tcPr>
          <w:p w14:paraId="6977E6E1" w14:textId="4AFF341E" w:rsidR="001A4EDA" w:rsidRDefault="00430777">
            <w:r>
              <w:rPr>
                <w:sz w:val="18"/>
              </w:rPr>
              <w:t>AGT policy: physical actuation requires verified equipment state, confirmed safety zone clearance, and energy-state verification. The Non-Idempotent Penalty (+15) applies to all physical actions because physical actions are inherently non-idempotent.</w:t>
            </w:r>
          </w:p>
        </w:tc>
      </w:tr>
    </w:tbl>
    <w:p w14:paraId="576D69EC" w14:textId="77777777" w:rsidR="001A4EDA" w:rsidRDefault="001A4EDA"/>
    <w:p w14:paraId="1B855E4D" w14:textId="77777777" w:rsidR="001A4EDA" w:rsidRDefault="00000000">
      <w:r>
        <w:rPr>
          <w:i/>
          <w:color w:val="2E75B6"/>
          <w:sz w:val="18"/>
        </w:rPr>
        <w:lastRenderedPageBreak/>
        <w:t>Reference: IEC 62443 Series — https://www.isa.org/standards-and-publications/isa-standards/isa-iec-62443-series-of-standards</w:t>
      </w:r>
    </w:p>
    <w:p w14:paraId="667F6219" w14:textId="77777777" w:rsidR="001A4EDA" w:rsidRDefault="00000000">
      <w:r>
        <w:rPr>
          <w:i/>
          <w:color w:val="2E75B6"/>
          <w:sz w:val="18"/>
        </w:rPr>
        <w:t>Reference: NIST Cybersecurity Framework 2.0 Manufacturing Profile — https://csrc.nist.gov/pubs/ir/8183/r2/ipd</w:t>
      </w:r>
    </w:p>
    <w:p w14:paraId="3FE346C7" w14:textId="77777777" w:rsidR="001A4EDA" w:rsidRDefault="00000000">
      <w:r>
        <w:rPr>
          <w:i/>
          <w:color w:val="2E75B6"/>
          <w:sz w:val="18"/>
        </w:rPr>
        <w:t>Reference: OPC UA (IEC 62541) — https://opcfoundation.org/about/opc-technologies/opc-ua/</w:t>
      </w:r>
    </w:p>
    <w:p w14:paraId="0D1F1723" w14:textId="77777777" w:rsidR="001A4EDA" w:rsidRDefault="00000000">
      <w:r>
        <w:rPr>
          <w:i/>
          <w:color w:val="2E75B6"/>
          <w:sz w:val="18"/>
        </w:rPr>
        <w:t>Reference: EU Machinery Regulation 2023/1230 — https://osha.europa.eu/en/legislation/directive/regulation-20231230eu-machinery</w:t>
      </w:r>
    </w:p>
    <w:tbl>
      <w:tblPr>
        <w:tblW w:w="0" w:type="auto"/>
        <w:jc w:val="center"/>
        <w:tblLook w:val="04A0" w:firstRow="1" w:lastRow="0" w:firstColumn="1" w:lastColumn="0" w:noHBand="0" w:noVBand="1"/>
      </w:tblPr>
      <w:tblGrid>
        <w:gridCol w:w="9360"/>
      </w:tblGrid>
      <w:tr w:rsidR="001A4EDA" w14:paraId="2CD09698" w14:textId="77777777">
        <w:trPr>
          <w:jc w:val="center"/>
        </w:trPr>
        <w:tc>
          <w:tcPr>
            <w:tcW w:w="9360" w:type="dxa"/>
            <w:shd w:val="clear" w:color="auto" w:fill="FFF3E0"/>
          </w:tcPr>
          <w:p w14:paraId="7CC76131" w14:textId="77777777" w:rsidR="001A4EDA" w:rsidRDefault="00000000">
            <w:r>
              <w:rPr>
                <w:b/>
                <w:color w:val="8B5E00"/>
              </w:rPr>
              <w:t>SCENARIO: NetMakeItX — Worker Safety at the Physical-Digital Boundary</w:t>
            </w:r>
          </w:p>
          <w:p w14:paraId="07E89FF2" w14:textId="77777777" w:rsidR="001A4EDA" w:rsidRDefault="00000000">
            <w:r>
              <w:rPr>
                <w:sz w:val="20"/>
              </w:rPr>
              <w:t>Factory 3 in the Czech Republic operates a collaborative robotics cell where human workers and a 6-axis robot arm assemble precision components side by side. The Worker Safety &amp; Human-Centric Agent monitors the collaboration zone via LiDAR sensors and the robot’s internal torque/force sensors per ISO/TS 15066 (collaborative robot speed and force limits).</w:t>
            </w:r>
          </w:p>
          <w:p w14:paraId="024CC63C" w14:textId="77777777" w:rsidR="001A4EDA" w:rsidRDefault="00000000">
            <w:r>
              <w:rPr>
                <w:sz w:val="20"/>
              </w:rPr>
              <w:t>During a Tuesday afternoon shift, a worker reaches into the robot’s operational envelope to adjust a fixture. The LiDAR detects the intrusion. The SIL-2 safety system (independent of ADAM) immediately reduces the robot’s speed to the ISO/TS 15066 maximum for human contact: 250mm/s with 150N maximum force.</w:t>
            </w:r>
          </w:p>
          <w:p w14:paraId="565D8B91" w14:textId="77777777" w:rsidR="001A4EDA" w:rsidRDefault="00000000">
            <w:r>
              <w:rPr>
                <w:sz w:val="20"/>
              </w:rPr>
              <w:t>ADAM’s Worker Safety Agent receives the safety system state change as a governance input. BOSS score: the Safety dimension is not scored (safety systems are independent), but the incident triggers a Doctrinal Alignment check. The agent detects that this worker has entered the robot envelope 4 times this week—a pattern that suggests the fixture design requires adjustment, not just real-time protection. A structured exception packet routes to the CEO (worker wellbeing per Industry 5.0 human-centricity pillar)</w:t>
            </w:r>
            <w:r>
              <w:rPr>
                <w:sz w:val="20"/>
              </w:rPr>
              <w:t xml:space="preserve"> with the recommendation: redesign the fixture to eliminate the need for manual adjustment within the robot envelope.</w:t>
            </w:r>
          </w:p>
          <w:p w14:paraId="5DC0141D" w14:textId="77777777" w:rsidR="001A4EDA" w:rsidRDefault="00000000">
            <w:r>
              <w:rPr>
                <w:sz w:val="20"/>
              </w:rPr>
              <w:t>The Flight Recorder captures the complete evidence chain: every safety zone intrusion, every robot speed reduction, every pattern analysis. When the EU-OSHA inspector asks “how do you ensure human-robot collaboration safety?”, the answer is not a policy document. It is a Flight Recorder extract with timestamped evidence of every safety event, every governance response, and every corrective action.</w:t>
            </w:r>
          </w:p>
        </w:tc>
      </w:tr>
    </w:tbl>
    <w:p w14:paraId="592E1AEF" w14:textId="77777777" w:rsidR="001A4EDA" w:rsidRDefault="001A4EDA"/>
    <w:p w14:paraId="58CC3B3C" w14:textId="77777777" w:rsidR="001A4EDA" w:rsidRDefault="00000000">
      <w:pPr>
        <w:pStyle w:val="Heading2"/>
      </w:pPr>
      <w:bookmarkStart w:id="28" w:name="_Toc227587149"/>
      <w:r>
        <w:t>IV.6 Manufacturing Competing Frameworks and ADAM’s Position</w:t>
      </w:r>
      <w:bookmarkEnd w:id="28"/>
    </w:p>
    <w:p w14:paraId="2E0942AB" w14:textId="77777777" w:rsidR="001A4EDA" w:rsidRDefault="00000000">
      <w:r>
        <w:rPr>
          <w:b/>
          <w:sz w:val="24"/>
        </w:rPr>
        <w:t>Manufacturing has more standards than any industry. ADAM makes them work together.</w:t>
      </w:r>
    </w:p>
    <w:p w14:paraId="344F53BE" w14:textId="77777777" w:rsidR="001A4EDA" w:rsidRDefault="00000000">
      <w:r>
        <w:t>The manufacturing standards landscape is extraordinarily dense. ISA-95 defines integration. IEC 62443 defines cybersecurity. RAMI 4.0 defines reference architecture. ISO 23247 defines digital twins. Industry 5.0 defines aspirational pillars. Catena-X defines data exchange. None of them defines autonomous governance. The following table positions ADAM relative to each major framework and explains how ADAM consumes, extends, or supersedes their capabilities.</w:t>
      </w:r>
    </w:p>
    <w:tbl>
      <w:tblPr>
        <w:tblStyle w:val="TableGrid"/>
        <w:tblW w:w="0" w:type="auto"/>
        <w:jc w:val="center"/>
        <w:tblLook w:val="04A0" w:firstRow="1" w:lastRow="0" w:firstColumn="1" w:lastColumn="0" w:noHBand="0" w:noVBand="1"/>
      </w:tblPr>
      <w:tblGrid>
        <w:gridCol w:w="2142"/>
        <w:gridCol w:w="3083"/>
        <w:gridCol w:w="4125"/>
      </w:tblGrid>
      <w:tr w:rsidR="001A4EDA" w14:paraId="347033DE" w14:textId="77777777">
        <w:trPr>
          <w:jc w:val="center"/>
        </w:trPr>
        <w:tc>
          <w:tcPr>
            <w:tcW w:w="2592" w:type="dxa"/>
            <w:shd w:val="clear" w:color="auto" w:fill="1F3A5F"/>
          </w:tcPr>
          <w:p w14:paraId="624C6DA6" w14:textId="77777777" w:rsidR="001A4EDA" w:rsidRDefault="00000000">
            <w:r>
              <w:rPr>
                <w:b/>
                <w:color w:val="FFFFFF"/>
                <w:sz w:val="20"/>
              </w:rPr>
              <w:t>Framework</w:t>
            </w:r>
          </w:p>
        </w:tc>
        <w:tc>
          <w:tcPr>
            <w:tcW w:w="4032" w:type="dxa"/>
            <w:shd w:val="clear" w:color="auto" w:fill="1F3A5F"/>
          </w:tcPr>
          <w:p w14:paraId="29175A0A" w14:textId="77777777" w:rsidR="001A4EDA" w:rsidRDefault="00000000">
            <w:r>
              <w:rPr>
                <w:b/>
                <w:color w:val="FFFFFF"/>
                <w:sz w:val="20"/>
              </w:rPr>
              <w:t>What It Provides</w:t>
            </w:r>
          </w:p>
        </w:tc>
        <w:tc>
          <w:tcPr>
            <w:tcW w:w="5616" w:type="dxa"/>
            <w:shd w:val="clear" w:color="auto" w:fill="1F3A5F"/>
          </w:tcPr>
          <w:p w14:paraId="7FE5F836" w14:textId="77777777" w:rsidR="001A4EDA" w:rsidRDefault="00000000">
            <w:r>
              <w:rPr>
                <w:b/>
                <w:color w:val="FFFFFF"/>
                <w:sz w:val="20"/>
              </w:rPr>
              <w:t>ADAM’s Position</w:t>
            </w:r>
          </w:p>
        </w:tc>
      </w:tr>
      <w:tr w:rsidR="001A4EDA" w14:paraId="0FA29546" w14:textId="77777777">
        <w:trPr>
          <w:jc w:val="center"/>
        </w:trPr>
        <w:tc>
          <w:tcPr>
            <w:tcW w:w="2592" w:type="dxa"/>
          </w:tcPr>
          <w:p w14:paraId="4F82960D" w14:textId="77777777" w:rsidR="001A4EDA" w:rsidRDefault="00000000">
            <w:r>
              <w:rPr>
                <w:sz w:val="18"/>
              </w:rPr>
              <w:t>ISA-95 / IEC 62264</w:t>
            </w:r>
          </w:p>
        </w:tc>
        <w:tc>
          <w:tcPr>
            <w:tcW w:w="4032" w:type="dxa"/>
          </w:tcPr>
          <w:p w14:paraId="5FC358B9" w14:textId="77777777" w:rsidR="001A4EDA" w:rsidRDefault="00000000">
            <w:r>
              <w:rPr>
                <w:sz w:val="18"/>
              </w:rPr>
              <w:t>Enterprise-control system integration standard. 5-level automation pyramid. Data exchange between MES and ERP.</w:t>
            </w:r>
          </w:p>
        </w:tc>
        <w:tc>
          <w:tcPr>
            <w:tcW w:w="5616" w:type="dxa"/>
          </w:tcPr>
          <w:p w14:paraId="642F8F8A" w14:textId="77777777" w:rsidR="001A4EDA" w:rsidRDefault="00000000">
            <w:r>
              <w:rPr>
                <w:sz w:val="18"/>
              </w:rPr>
              <w:t>ADAM uses in conjunction. ISA-95 defines the integration architecture; ADAM governs the decisions made within that architecture. ADAM’s ISA-</w:t>
            </w:r>
            <w:r>
              <w:rPr>
                <w:sz w:val="18"/>
              </w:rPr>
              <w:lastRenderedPageBreak/>
              <w:t>95 Integration Service consumes ISA-95 data exchange patterns as governed tool invocations.</w:t>
            </w:r>
          </w:p>
        </w:tc>
      </w:tr>
      <w:tr w:rsidR="001A4EDA" w14:paraId="0D9C2D81" w14:textId="77777777">
        <w:trPr>
          <w:jc w:val="center"/>
        </w:trPr>
        <w:tc>
          <w:tcPr>
            <w:tcW w:w="2592" w:type="dxa"/>
            <w:shd w:val="clear" w:color="auto" w:fill="F2F5F8"/>
          </w:tcPr>
          <w:p w14:paraId="6B4566BC" w14:textId="77777777" w:rsidR="001A4EDA" w:rsidRDefault="00000000">
            <w:r>
              <w:rPr>
                <w:sz w:val="18"/>
              </w:rPr>
              <w:lastRenderedPageBreak/>
              <w:t>RAMI 4.0 (Reference Architecture Model Industrie 4.0)</w:t>
            </w:r>
          </w:p>
        </w:tc>
        <w:tc>
          <w:tcPr>
            <w:tcW w:w="4032" w:type="dxa"/>
            <w:shd w:val="clear" w:color="auto" w:fill="F2F5F8"/>
          </w:tcPr>
          <w:p w14:paraId="60831F00" w14:textId="77777777" w:rsidR="001A4EDA" w:rsidRDefault="00000000">
            <w:r>
              <w:rPr>
                <w:sz w:val="18"/>
              </w:rPr>
              <w:t>Cubic reference model: Asset hierarchies, lifecycle, functional layers (Business, Function, Information, Communication, Integration, Asset).</w:t>
            </w:r>
          </w:p>
        </w:tc>
        <w:tc>
          <w:tcPr>
            <w:tcW w:w="5616" w:type="dxa"/>
            <w:shd w:val="clear" w:color="auto" w:fill="F2F5F8"/>
          </w:tcPr>
          <w:p w14:paraId="214921A3" w14:textId="77777777" w:rsidR="001A4EDA" w:rsidRDefault="00000000">
            <w:r>
              <w:rPr>
                <w:sz w:val="18"/>
              </w:rPr>
              <w:t>ADAM uses in conjunction. RAMI 4.0 provides the reference architecture; ADAM provides the autonomous governance layer that RAMI 4.0 does not address. ADAM’s Core Layers &amp; Cross-Cutting Planes map to RAMI 4.0’s functional layers with governance semantics added.</w:t>
            </w:r>
          </w:p>
        </w:tc>
      </w:tr>
      <w:tr w:rsidR="001A4EDA" w14:paraId="29EC4610" w14:textId="77777777">
        <w:trPr>
          <w:jc w:val="center"/>
        </w:trPr>
        <w:tc>
          <w:tcPr>
            <w:tcW w:w="2592" w:type="dxa"/>
          </w:tcPr>
          <w:p w14:paraId="3B8A65AF" w14:textId="77777777" w:rsidR="001A4EDA" w:rsidRDefault="00000000">
            <w:r>
              <w:rPr>
                <w:sz w:val="18"/>
              </w:rPr>
              <w:t>Industry 5.0 (EU Commission)</w:t>
            </w:r>
          </w:p>
        </w:tc>
        <w:tc>
          <w:tcPr>
            <w:tcW w:w="4032" w:type="dxa"/>
          </w:tcPr>
          <w:p w14:paraId="476BD0C7" w14:textId="77777777" w:rsidR="001A4EDA" w:rsidRDefault="00000000">
            <w:r>
              <w:rPr>
                <w:sz w:val="18"/>
              </w:rPr>
              <w:t>Three pillars: Human-centricity, Sustainability, Resilience. Complements Industry 4.0 with societal value.</w:t>
            </w:r>
          </w:p>
        </w:tc>
        <w:tc>
          <w:tcPr>
            <w:tcW w:w="5616" w:type="dxa"/>
          </w:tcPr>
          <w:p w14:paraId="0E3532D8" w14:textId="77777777" w:rsidR="001A4EDA" w:rsidRDefault="00000000">
            <w:r>
              <w:rPr>
                <w:sz w:val="18"/>
              </w:rPr>
              <w:t>ADAM is better. Industry 5.0 defines aspirational pillars but provides no implementation architecture. ADAM provides the governance architecture that makes human-centricity enforceable (worker safety agents), sustainability measurable (energy governance), and resilience structural (BC/DR through encapsulation).</w:t>
            </w:r>
          </w:p>
        </w:tc>
      </w:tr>
      <w:tr w:rsidR="001A4EDA" w14:paraId="0C613016" w14:textId="77777777">
        <w:trPr>
          <w:jc w:val="center"/>
        </w:trPr>
        <w:tc>
          <w:tcPr>
            <w:tcW w:w="2592" w:type="dxa"/>
            <w:shd w:val="clear" w:color="auto" w:fill="F2F5F8"/>
          </w:tcPr>
          <w:p w14:paraId="68489320" w14:textId="77777777" w:rsidR="001A4EDA" w:rsidRDefault="00000000">
            <w:r>
              <w:rPr>
                <w:sz w:val="18"/>
              </w:rPr>
              <w:t>IEC 62443</w:t>
            </w:r>
          </w:p>
        </w:tc>
        <w:tc>
          <w:tcPr>
            <w:tcW w:w="4032" w:type="dxa"/>
            <w:shd w:val="clear" w:color="auto" w:fill="F2F5F8"/>
          </w:tcPr>
          <w:p w14:paraId="43411F1F" w14:textId="77777777" w:rsidR="001A4EDA" w:rsidRDefault="00000000">
            <w:r>
              <w:rPr>
                <w:sz w:val="18"/>
              </w:rPr>
              <w:t>Industrial cybersecurity standard series. Zone/conduit model. Shared responsibility across manufacturers, integrators, operators.</w:t>
            </w:r>
          </w:p>
        </w:tc>
        <w:tc>
          <w:tcPr>
            <w:tcW w:w="5616" w:type="dxa"/>
            <w:shd w:val="clear" w:color="auto" w:fill="F2F5F8"/>
          </w:tcPr>
          <w:p w14:paraId="3453C2B4" w14:textId="77777777" w:rsidR="001A4EDA" w:rsidRDefault="00000000">
            <w:r>
              <w:rPr>
                <w:sz w:val="18"/>
              </w:rPr>
              <w:t>ADAM uses in conjunction. IEC 62443 defines cybersecurity requirements; ADAM enforces them continuously. ADAM’s Industrial Cybersecurity Enforcement Agent maintains IEC 62443 compliance as a runtime governance property, not a periodic audit.</w:t>
            </w:r>
          </w:p>
        </w:tc>
      </w:tr>
      <w:tr w:rsidR="001A4EDA" w14:paraId="1C4FD654" w14:textId="77777777">
        <w:trPr>
          <w:jc w:val="center"/>
        </w:trPr>
        <w:tc>
          <w:tcPr>
            <w:tcW w:w="2592" w:type="dxa"/>
          </w:tcPr>
          <w:p w14:paraId="077E746B" w14:textId="77777777" w:rsidR="001A4EDA" w:rsidRDefault="00000000">
            <w:r>
              <w:rPr>
                <w:sz w:val="18"/>
              </w:rPr>
              <w:t>Digital Twin Consortium / ISO 23247</w:t>
            </w:r>
          </w:p>
        </w:tc>
        <w:tc>
          <w:tcPr>
            <w:tcW w:w="4032" w:type="dxa"/>
          </w:tcPr>
          <w:p w14:paraId="1944D7BC" w14:textId="77777777" w:rsidR="001A4EDA" w:rsidRDefault="00000000">
            <w:r>
              <w:rPr>
                <w:sz w:val="18"/>
              </w:rPr>
              <w:t>Standards for manufacturing digital twins: general principles, reference architecture, information attributes, information exchange.</w:t>
            </w:r>
          </w:p>
        </w:tc>
        <w:tc>
          <w:tcPr>
            <w:tcW w:w="5616" w:type="dxa"/>
          </w:tcPr>
          <w:p w14:paraId="0114F6E1" w14:textId="77777777" w:rsidR="001A4EDA" w:rsidRDefault="00000000">
            <w:r>
              <w:rPr>
                <w:sz w:val="18"/>
              </w:rPr>
              <w:t>ADAM conforms and extends. ADAM’s Digital Twin Control Plane implements ISO 23247 with autonomous governance. Twin accuracy, synchronization, and simulation confidence are BOSS-scored governance metrics.</w:t>
            </w:r>
          </w:p>
        </w:tc>
      </w:tr>
      <w:tr w:rsidR="001A4EDA" w14:paraId="68F6FD74" w14:textId="77777777">
        <w:trPr>
          <w:jc w:val="center"/>
        </w:trPr>
        <w:tc>
          <w:tcPr>
            <w:tcW w:w="2592" w:type="dxa"/>
            <w:shd w:val="clear" w:color="auto" w:fill="F2F5F8"/>
          </w:tcPr>
          <w:p w14:paraId="3DDE1E06" w14:textId="77777777" w:rsidR="001A4EDA" w:rsidRDefault="00000000">
            <w:r>
              <w:rPr>
                <w:sz w:val="18"/>
              </w:rPr>
              <w:t>Asset Administration Shell (AAS/IEC 63278)</w:t>
            </w:r>
          </w:p>
        </w:tc>
        <w:tc>
          <w:tcPr>
            <w:tcW w:w="4032" w:type="dxa"/>
            <w:shd w:val="clear" w:color="auto" w:fill="F2F5F8"/>
          </w:tcPr>
          <w:p w14:paraId="0D32926E" w14:textId="77777777" w:rsidR="001A4EDA" w:rsidRDefault="00000000">
            <w:r>
              <w:rPr>
                <w:sz w:val="18"/>
              </w:rPr>
              <w:t>Standardized digital representation framework for industrial assets. Vendor-independent, technology-agnostic.</w:t>
            </w:r>
          </w:p>
        </w:tc>
        <w:tc>
          <w:tcPr>
            <w:tcW w:w="5616" w:type="dxa"/>
            <w:shd w:val="clear" w:color="auto" w:fill="F2F5F8"/>
          </w:tcPr>
          <w:p w14:paraId="68283144" w14:textId="77777777" w:rsidR="001A4EDA" w:rsidRDefault="00000000">
            <w:r>
              <w:rPr>
                <w:sz w:val="18"/>
              </w:rPr>
              <w:t>ADAM conforms. AAS is the implementation mechanism for ADAM’s manufacturing digital twins. ADAM’s AAS Service manages asset representations within the governed Digital Twin Control Plane.</w:t>
            </w:r>
          </w:p>
        </w:tc>
      </w:tr>
      <w:tr w:rsidR="001A4EDA" w14:paraId="7B5CE509" w14:textId="77777777">
        <w:trPr>
          <w:jc w:val="center"/>
        </w:trPr>
        <w:tc>
          <w:tcPr>
            <w:tcW w:w="2592" w:type="dxa"/>
          </w:tcPr>
          <w:p w14:paraId="66663FBA" w14:textId="77777777" w:rsidR="001A4EDA" w:rsidRDefault="00000000">
            <w:r>
              <w:rPr>
                <w:sz w:val="18"/>
              </w:rPr>
              <w:t>Catena-X / Manufacturing-X</w:t>
            </w:r>
          </w:p>
        </w:tc>
        <w:tc>
          <w:tcPr>
            <w:tcW w:w="4032" w:type="dxa"/>
          </w:tcPr>
          <w:p w14:paraId="7BA7B4AF" w14:textId="77777777" w:rsidR="001A4EDA" w:rsidRDefault="00000000">
            <w:r>
              <w:rPr>
                <w:sz w:val="18"/>
              </w:rPr>
              <w:t>Decentralized data ecosystem for cross-organization data exchange. Based on Gaia-X and IDS.</w:t>
            </w:r>
          </w:p>
        </w:tc>
        <w:tc>
          <w:tcPr>
            <w:tcW w:w="5616" w:type="dxa"/>
          </w:tcPr>
          <w:p w14:paraId="6BCB8FEA" w14:textId="77777777" w:rsidR="001A4EDA" w:rsidRDefault="00000000">
            <w:r>
              <w:rPr>
                <w:sz w:val="18"/>
              </w:rPr>
              <w:t>ADAM uses in conjunction. Catena-X provides the data exchange standard; ADAM provides the governance. Every data exchange through Catena-X/Manufacturing-X is BOSS-scored with Sovereignty Action as a critical dimension.</w:t>
            </w:r>
          </w:p>
        </w:tc>
      </w:tr>
      <w:tr w:rsidR="001A4EDA" w14:paraId="21EB3961" w14:textId="77777777">
        <w:trPr>
          <w:jc w:val="center"/>
        </w:trPr>
        <w:tc>
          <w:tcPr>
            <w:tcW w:w="2592" w:type="dxa"/>
            <w:shd w:val="clear" w:color="auto" w:fill="F2F5F8"/>
          </w:tcPr>
          <w:p w14:paraId="35CB932A" w14:textId="77777777" w:rsidR="001A4EDA" w:rsidRDefault="00000000">
            <w:r>
              <w:rPr>
                <w:sz w:val="18"/>
              </w:rPr>
              <w:t>NIST Smart Manufacturing Reference Architecture</w:t>
            </w:r>
          </w:p>
        </w:tc>
        <w:tc>
          <w:tcPr>
            <w:tcW w:w="4032" w:type="dxa"/>
            <w:shd w:val="clear" w:color="auto" w:fill="F2F5F8"/>
          </w:tcPr>
          <w:p w14:paraId="5DD986B3" w14:textId="77777777" w:rsidR="001A4EDA" w:rsidRDefault="00000000">
            <w:r>
              <w:rPr>
                <w:sz w:val="18"/>
              </w:rPr>
              <w:t>Functional models and information flows for smart manufacturing systems design.</w:t>
            </w:r>
          </w:p>
        </w:tc>
        <w:tc>
          <w:tcPr>
            <w:tcW w:w="5616" w:type="dxa"/>
            <w:shd w:val="clear" w:color="auto" w:fill="F2F5F8"/>
          </w:tcPr>
          <w:p w14:paraId="7D117610" w14:textId="77777777" w:rsidR="001A4EDA" w:rsidRDefault="00000000">
            <w:r>
              <w:rPr>
                <w:sz w:val="18"/>
              </w:rPr>
              <w:t>ADAM uses in conjunction. NIST provides the functional reference; ADAM provides the autonomous governance that NIST’s architecture does not define.</w:t>
            </w:r>
          </w:p>
        </w:tc>
      </w:tr>
    </w:tbl>
    <w:p w14:paraId="5804F190" w14:textId="77777777" w:rsidR="001A4EDA" w:rsidRDefault="001A4EDA"/>
    <w:p w14:paraId="50B40B69" w14:textId="77777777" w:rsidR="001A4EDA" w:rsidRDefault="00000000">
      <w:r>
        <w:t>The common pattern across all manufacturing frameworks: they define what should exist, not how to govern it autonomously. ISA-95 tells you what data crosses the MES-ERP boundary but not who authorizes the decisions made with that data. IEC 62443 tells you what security zones to create but not how to continuously verify compliance. Industry 5.0 tells you to be human-centric but not how to enforce it. ADAM fills this governance gap—not by replacing these frameworks but by providing the constitutional layer th</w:t>
      </w:r>
      <w:r>
        <w:t>at makes them operationally enforceable.</w:t>
      </w:r>
    </w:p>
    <w:p w14:paraId="26269CC7" w14:textId="77777777" w:rsidR="001A4EDA" w:rsidRDefault="00000000">
      <w:pPr>
        <w:pStyle w:val="Heading2"/>
      </w:pPr>
      <w:bookmarkStart w:id="29" w:name="_Toc227587150"/>
      <w:r>
        <w:lastRenderedPageBreak/>
        <w:t>IV.7 Manufacturing BOSS Score Customization</w:t>
      </w:r>
      <w:bookmarkEnd w:id="29"/>
    </w:p>
    <w:p w14:paraId="32594BC5" w14:textId="77777777" w:rsidR="001A4EDA" w:rsidRDefault="00000000">
      <w:r>
        <w:t>Manufacturing deployments customize ADAM’s BOSS Priority Tier assignments to reflect the industry’s physical-digital reality. The key customization: Doctrinal Alignment is elevated from Medium to High because manufacturing process adherence is a safety requirement, not just an operational preference. Deviating from an established procedure in a factory can cause physical harm in ways that deviating from a procedure in an office cannot.</w:t>
      </w:r>
    </w:p>
    <w:tbl>
      <w:tblPr>
        <w:tblStyle w:val="TableGrid"/>
        <w:tblW w:w="0" w:type="auto"/>
        <w:jc w:val="center"/>
        <w:tblLook w:val="04A0" w:firstRow="1" w:lastRow="0" w:firstColumn="1" w:lastColumn="0" w:noHBand="0" w:noVBand="1"/>
      </w:tblPr>
      <w:tblGrid>
        <w:gridCol w:w="1555"/>
        <w:gridCol w:w="1331"/>
        <w:gridCol w:w="1694"/>
        <w:gridCol w:w="844"/>
        <w:gridCol w:w="3926"/>
      </w:tblGrid>
      <w:tr w:rsidR="001A4EDA" w14:paraId="3B726A15" w14:textId="77777777">
        <w:trPr>
          <w:jc w:val="center"/>
        </w:trPr>
        <w:tc>
          <w:tcPr>
            <w:tcW w:w="1872" w:type="dxa"/>
            <w:shd w:val="clear" w:color="auto" w:fill="1F3A5F"/>
          </w:tcPr>
          <w:p w14:paraId="26BC975D" w14:textId="77777777" w:rsidR="001A4EDA" w:rsidRDefault="00000000">
            <w:r>
              <w:rPr>
                <w:b/>
                <w:color w:val="FFFFFF"/>
                <w:sz w:val="20"/>
              </w:rPr>
              <w:t>BOSS Dimension</w:t>
            </w:r>
          </w:p>
        </w:tc>
        <w:tc>
          <w:tcPr>
            <w:tcW w:w="1728" w:type="dxa"/>
            <w:shd w:val="clear" w:color="auto" w:fill="1F3A5F"/>
          </w:tcPr>
          <w:p w14:paraId="2C07999C" w14:textId="77777777" w:rsidR="001A4EDA" w:rsidRDefault="00000000">
            <w:r>
              <w:rPr>
                <w:b/>
                <w:color w:val="FFFFFF"/>
                <w:sz w:val="20"/>
              </w:rPr>
              <w:t>Core ADAM Default</w:t>
            </w:r>
          </w:p>
        </w:tc>
        <w:tc>
          <w:tcPr>
            <w:tcW w:w="1872" w:type="dxa"/>
            <w:shd w:val="clear" w:color="auto" w:fill="1F3A5F"/>
          </w:tcPr>
          <w:p w14:paraId="3A9CD2CF" w14:textId="77777777" w:rsidR="001A4EDA" w:rsidRDefault="00000000">
            <w:r>
              <w:rPr>
                <w:b/>
                <w:color w:val="FFFFFF"/>
                <w:sz w:val="20"/>
              </w:rPr>
              <w:t>Manufacturing Recommended</w:t>
            </w:r>
          </w:p>
        </w:tc>
        <w:tc>
          <w:tcPr>
            <w:tcW w:w="864" w:type="dxa"/>
            <w:shd w:val="clear" w:color="auto" w:fill="1F3A5F"/>
          </w:tcPr>
          <w:p w14:paraId="2D502093" w14:textId="77777777" w:rsidR="001A4EDA" w:rsidRDefault="00000000">
            <w:r>
              <w:rPr>
                <w:b/>
                <w:color w:val="FFFFFF"/>
                <w:sz w:val="20"/>
              </w:rPr>
              <w:t>Weight</w:t>
            </w:r>
          </w:p>
        </w:tc>
        <w:tc>
          <w:tcPr>
            <w:tcW w:w="5904" w:type="dxa"/>
            <w:shd w:val="clear" w:color="auto" w:fill="1F3A5F"/>
          </w:tcPr>
          <w:p w14:paraId="75FE64EA" w14:textId="77777777" w:rsidR="001A4EDA" w:rsidRDefault="00000000">
            <w:r>
              <w:rPr>
                <w:b/>
                <w:color w:val="FFFFFF"/>
                <w:sz w:val="20"/>
              </w:rPr>
              <w:t>Manufacturing Rationale</w:t>
            </w:r>
          </w:p>
        </w:tc>
      </w:tr>
      <w:tr w:rsidR="001A4EDA" w14:paraId="498D948F" w14:textId="77777777">
        <w:trPr>
          <w:jc w:val="center"/>
        </w:trPr>
        <w:tc>
          <w:tcPr>
            <w:tcW w:w="1872" w:type="dxa"/>
          </w:tcPr>
          <w:p w14:paraId="2F5C71E2" w14:textId="77777777" w:rsidR="001A4EDA" w:rsidRDefault="00000000">
            <w:r>
              <w:rPr>
                <w:sz w:val="18"/>
              </w:rPr>
              <w:t>Security Impact</w:t>
            </w:r>
          </w:p>
        </w:tc>
        <w:tc>
          <w:tcPr>
            <w:tcW w:w="1728" w:type="dxa"/>
          </w:tcPr>
          <w:p w14:paraId="0889C52B" w14:textId="77777777" w:rsidR="001A4EDA" w:rsidRDefault="00000000">
            <w:r>
              <w:rPr>
                <w:sz w:val="18"/>
              </w:rPr>
              <w:t>Top (5.0)</w:t>
            </w:r>
          </w:p>
        </w:tc>
        <w:tc>
          <w:tcPr>
            <w:tcW w:w="1872" w:type="dxa"/>
          </w:tcPr>
          <w:p w14:paraId="285DC2D6" w14:textId="77777777" w:rsidR="001A4EDA" w:rsidRDefault="00000000">
            <w:r>
              <w:rPr>
                <w:sz w:val="18"/>
              </w:rPr>
              <w:t>Top (5.0)</w:t>
            </w:r>
          </w:p>
        </w:tc>
        <w:tc>
          <w:tcPr>
            <w:tcW w:w="864" w:type="dxa"/>
          </w:tcPr>
          <w:p w14:paraId="300858C5" w14:textId="77777777" w:rsidR="001A4EDA" w:rsidRDefault="00000000">
            <w:r>
              <w:rPr>
                <w:sz w:val="18"/>
              </w:rPr>
              <w:t>5.0</w:t>
            </w:r>
          </w:p>
        </w:tc>
        <w:tc>
          <w:tcPr>
            <w:tcW w:w="5904" w:type="dxa"/>
          </w:tcPr>
          <w:p w14:paraId="4B424CEA" w14:textId="77777777" w:rsidR="001A4EDA" w:rsidRDefault="00000000">
            <w:r>
              <w:rPr>
                <w:sz w:val="18"/>
              </w:rPr>
              <w:t>Unchanged. OT/ICS cybersecurity remains the single most critical risk. A compromised safety system can kill.</w:t>
            </w:r>
          </w:p>
        </w:tc>
      </w:tr>
      <w:tr w:rsidR="001A4EDA" w14:paraId="4EC7DFC7" w14:textId="77777777">
        <w:trPr>
          <w:jc w:val="center"/>
        </w:trPr>
        <w:tc>
          <w:tcPr>
            <w:tcW w:w="1872" w:type="dxa"/>
            <w:shd w:val="clear" w:color="auto" w:fill="F2F5F8"/>
          </w:tcPr>
          <w:p w14:paraId="57890CD6" w14:textId="77777777" w:rsidR="001A4EDA" w:rsidRDefault="00000000">
            <w:r>
              <w:rPr>
                <w:sz w:val="18"/>
              </w:rPr>
              <w:t>Sovereignty Action</w:t>
            </w:r>
          </w:p>
        </w:tc>
        <w:tc>
          <w:tcPr>
            <w:tcW w:w="1728" w:type="dxa"/>
            <w:shd w:val="clear" w:color="auto" w:fill="F2F5F8"/>
          </w:tcPr>
          <w:p w14:paraId="3FBE543F" w14:textId="77777777" w:rsidR="001A4EDA" w:rsidRDefault="00000000">
            <w:r>
              <w:rPr>
                <w:sz w:val="18"/>
              </w:rPr>
              <w:t>Very High (4.0)</w:t>
            </w:r>
          </w:p>
        </w:tc>
        <w:tc>
          <w:tcPr>
            <w:tcW w:w="1872" w:type="dxa"/>
            <w:shd w:val="clear" w:color="auto" w:fill="F2F5F8"/>
          </w:tcPr>
          <w:p w14:paraId="03B2BAF3" w14:textId="77777777" w:rsidR="001A4EDA" w:rsidRDefault="00000000">
            <w:r>
              <w:rPr>
                <w:sz w:val="18"/>
              </w:rPr>
              <w:t>Very High (4.0)</w:t>
            </w:r>
          </w:p>
        </w:tc>
        <w:tc>
          <w:tcPr>
            <w:tcW w:w="864" w:type="dxa"/>
            <w:shd w:val="clear" w:color="auto" w:fill="F2F5F8"/>
          </w:tcPr>
          <w:p w14:paraId="7ABAA962" w14:textId="77777777" w:rsidR="001A4EDA" w:rsidRDefault="00000000">
            <w:r>
              <w:rPr>
                <w:sz w:val="18"/>
              </w:rPr>
              <w:t>4.0</w:t>
            </w:r>
          </w:p>
        </w:tc>
        <w:tc>
          <w:tcPr>
            <w:tcW w:w="5904" w:type="dxa"/>
            <w:shd w:val="clear" w:color="auto" w:fill="F2F5F8"/>
          </w:tcPr>
          <w:p w14:paraId="6600FBC7" w14:textId="77777777" w:rsidR="001A4EDA" w:rsidRDefault="00000000">
            <w:r>
              <w:rPr>
                <w:sz w:val="18"/>
              </w:rPr>
              <w:t>Unchanged. Supply chain sovereignty (SEAL SOV-5 weighted 20%) is critical for manufacturing resilience. Foreign supply chain dependencies create existential risk.</w:t>
            </w:r>
          </w:p>
        </w:tc>
      </w:tr>
      <w:tr w:rsidR="001A4EDA" w14:paraId="7F139824" w14:textId="77777777">
        <w:trPr>
          <w:jc w:val="center"/>
        </w:trPr>
        <w:tc>
          <w:tcPr>
            <w:tcW w:w="1872" w:type="dxa"/>
          </w:tcPr>
          <w:p w14:paraId="64E0B101" w14:textId="77777777" w:rsidR="001A4EDA" w:rsidRDefault="00000000">
            <w:r>
              <w:rPr>
                <w:sz w:val="18"/>
              </w:rPr>
              <w:t>Financial Exposure</w:t>
            </w:r>
          </w:p>
        </w:tc>
        <w:tc>
          <w:tcPr>
            <w:tcW w:w="1728" w:type="dxa"/>
          </w:tcPr>
          <w:p w14:paraId="1AF359CB" w14:textId="77777777" w:rsidR="001A4EDA" w:rsidRDefault="00000000">
            <w:r>
              <w:rPr>
                <w:sz w:val="18"/>
              </w:rPr>
              <w:t>Very High (4.0)</w:t>
            </w:r>
          </w:p>
        </w:tc>
        <w:tc>
          <w:tcPr>
            <w:tcW w:w="1872" w:type="dxa"/>
          </w:tcPr>
          <w:p w14:paraId="04C87FD7" w14:textId="77777777" w:rsidR="001A4EDA" w:rsidRDefault="00000000">
            <w:r>
              <w:rPr>
                <w:sz w:val="18"/>
              </w:rPr>
              <w:t>Very High (4.0)</w:t>
            </w:r>
          </w:p>
        </w:tc>
        <w:tc>
          <w:tcPr>
            <w:tcW w:w="864" w:type="dxa"/>
          </w:tcPr>
          <w:p w14:paraId="1ADD0C56" w14:textId="77777777" w:rsidR="001A4EDA" w:rsidRDefault="00000000">
            <w:r>
              <w:rPr>
                <w:sz w:val="18"/>
              </w:rPr>
              <w:t>4.0</w:t>
            </w:r>
          </w:p>
        </w:tc>
        <w:tc>
          <w:tcPr>
            <w:tcW w:w="5904" w:type="dxa"/>
          </w:tcPr>
          <w:p w14:paraId="2D2EFFAF" w14:textId="77777777" w:rsidR="001A4EDA" w:rsidRDefault="00000000">
            <w:r>
              <w:rPr>
                <w:sz w:val="18"/>
              </w:rPr>
              <w:t>Unchanged. Manufacturing financial exposure is high: unplanned downtime costs $50B+ annually. Production decisions directly affect revenue.</w:t>
            </w:r>
          </w:p>
        </w:tc>
      </w:tr>
      <w:tr w:rsidR="001A4EDA" w14:paraId="268A68F0" w14:textId="77777777">
        <w:trPr>
          <w:jc w:val="center"/>
        </w:trPr>
        <w:tc>
          <w:tcPr>
            <w:tcW w:w="1872" w:type="dxa"/>
            <w:shd w:val="clear" w:color="auto" w:fill="F2F5F8"/>
          </w:tcPr>
          <w:p w14:paraId="2DC0866E" w14:textId="77777777" w:rsidR="001A4EDA" w:rsidRDefault="00000000">
            <w:r>
              <w:rPr>
                <w:sz w:val="18"/>
              </w:rPr>
              <w:t>Regulatory Impact</w:t>
            </w:r>
          </w:p>
        </w:tc>
        <w:tc>
          <w:tcPr>
            <w:tcW w:w="1728" w:type="dxa"/>
            <w:shd w:val="clear" w:color="auto" w:fill="F2F5F8"/>
          </w:tcPr>
          <w:p w14:paraId="4DF1EC6C" w14:textId="77777777" w:rsidR="001A4EDA" w:rsidRDefault="00000000">
            <w:r>
              <w:rPr>
                <w:sz w:val="18"/>
              </w:rPr>
              <w:t>High (3.0)</w:t>
            </w:r>
          </w:p>
        </w:tc>
        <w:tc>
          <w:tcPr>
            <w:tcW w:w="1872" w:type="dxa"/>
            <w:shd w:val="clear" w:color="auto" w:fill="F2F5F8"/>
          </w:tcPr>
          <w:p w14:paraId="5507C97E" w14:textId="77777777" w:rsidR="001A4EDA" w:rsidRDefault="00000000">
            <w:r>
              <w:rPr>
                <w:sz w:val="18"/>
              </w:rPr>
              <w:t>High (3.0)</w:t>
            </w:r>
          </w:p>
        </w:tc>
        <w:tc>
          <w:tcPr>
            <w:tcW w:w="864" w:type="dxa"/>
            <w:shd w:val="clear" w:color="auto" w:fill="F2F5F8"/>
          </w:tcPr>
          <w:p w14:paraId="26C9D3F2" w14:textId="77777777" w:rsidR="001A4EDA" w:rsidRDefault="00000000">
            <w:r>
              <w:rPr>
                <w:sz w:val="18"/>
              </w:rPr>
              <w:t>3.0</w:t>
            </w:r>
          </w:p>
        </w:tc>
        <w:tc>
          <w:tcPr>
            <w:tcW w:w="5904" w:type="dxa"/>
            <w:shd w:val="clear" w:color="auto" w:fill="F2F5F8"/>
          </w:tcPr>
          <w:p w14:paraId="27D4B758" w14:textId="77777777" w:rsidR="001A4EDA" w:rsidRDefault="00000000">
            <w:r>
              <w:rPr>
                <w:sz w:val="18"/>
              </w:rPr>
              <w:t>Unchanged. EU Machinery Regulation, IEC 62443, environmental regulations, and labor laws create material regulatory surface.</w:t>
            </w:r>
          </w:p>
        </w:tc>
      </w:tr>
      <w:tr w:rsidR="001A4EDA" w14:paraId="14A5F701" w14:textId="77777777">
        <w:trPr>
          <w:jc w:val="center"/>
        </w:trPr>
        <w:tc>
          <w:tcPr>
            <w:tcW w:w="1872" w:type="dxa"/>
          </w:tcPr>
          <w:p w14:paraId="26E87AFB" w14:textId="77777777" w:rsidR="001A4EDA" w:rsidRDefault="00000000">
            <w:r>
              <w:rPr>
                <w:sz w:val="18"/>
              </w:rPr>
              <w:t>Reputational Risk</w:t>
            </w:r>
          </w:p>
        </w:tc>
        <w:tc>
          <w:tcPr>
            <w:tcW w:w="1728" w:type="dxa"/>
          </w:tcPr>
          <w:p w14:paraId="3FC2C713" w14:textId="77777777" w:rsidR="001A4EDA" w:rsidRDefault="00000000">
            <w:r>
              <w:rPr>
                <w:sz w:val="18"/>
              </w:rPr>
              <w:t>High (3.0)</w:t>
            </w:r>
          </w:p>
        </w:tc>
        <w:tc>
          <w:tcPr>
            <w:tcW w:w="1872" w:type="dxa"/>
          </w:tcPr>
          <w:p w14:paraId="2E5C0037" w14:textId="77777777" w:rsidR="001A4EDA" w:rsidRDefault="00000000">
            <w:r>
              <w:rPr>
                <w:sz w:val="18"/>
              </w:rPr>
              <w:t>High (3.0)</w:t>
            </w:r>
          </w:p>
        </w:tc>
        <w:tc>
          <w:tcPr>
            <w:tcW w:w="864" w:type="dxa"/>
          </w:tcPr>
          <w:p w14:paraId="1A810F6E" w14:textId="77777777" w:rsidR="001A4EDA" w:rsidRDefault="00000000">
            <w:r>
              <w:rPr>
                <w:sz w:val="18"/>
              </w:rPr>
              <w:t>3.0</w:t>
            </w:r>
          </w:p>
        </w:tc>
        <w:tc>
          <w:tcPr>
            <w:tcW w:w="5904" w:type="dxa"/>
          </w:tcPr>
          <w:p w14:paraId="6439B372" w14:textId="77777777" w:rsidR="001A4EDA" w:rsidRDefault="00000000">
            <w:r>
              <w:rPr>
                <w:sz w:val="18"/>
              </w:rPr>
              <w:t>Unchanged. Product quality failures and safety incidents damage brand permanently.</w:t>
            </w:r>
          </w:p>
        </w:tc>
      </w:tr>
      <w:tr w:rsidR="001A4EDA" w14:paraId="12B16624" w14:textId="77777777">
        <w:trPr>
          <w:jc w:val="center"/>
        </w:trPr>
        <w:tc>
          <w:tcPr>
            <w:tcW w:w="1872" w:type="dxa"/>
            <w:shd w:val="clear" w:color="auto" w:fill="F2F5F8"/>
          </w:tcPr>
          <w:p w14:paraId="3E01ABFE" w14:textId="77777777" w:rsidR="001A4EDA" w:rsidRDefault="00000000">
            <w:r>
              <w:rPr>
                <w:sz w:val="18"/>
              </w:rPr>
              <w:t>Rights Certainty</w:t>
            </w:r>
          </w:p>
        </w:tc>
        <w:tc>
          <w:tcPr>
            <w:tcW w:w="1728" w:type="dxa"/>
            <w:shd w:val="clear" w:color="auto" w:fill="F2F5F8"/>
          </w:tcPr>
          <w:p w14:paraId="613005D0" w14:textId="77777777" w:rsidR="001A4EDA" w:rsidRDefault="00000000">
            <w:r>
              <w:rPr>
                <w:sz w:val="18"/>
              </w:rPr>
              <w:t>High (3.0)</w:t>
            </w:r>
          </w:p>
        </w:tc>
        <w:tc>
          <w:tcPr>
            <w:tcW w:w="1872" w:type="dxa"/>
            <w:shd w:val="clear" w:color="auto" w:fill="F2F5F8"/>
          </w:tcPr>
          <w:p w14:paraId="0A5BF4E7" w14:textId="77777777" w:rsidR="001A4EDA" w:rsidRDefault="00000000">
            <w:r>
              <w:rPr>
                <w:sz w:val="18"/>
              </w:rPr>
              <w:t>Medium (2.0)</w:t>
            </w:r>
          </w:p>
        </w:tc>
        <w:tc>
          <w:tcPr>
            <w:tcW w:w="864" w:type="dxa"/>
            <w:shd w:val="clear" w:color="auto" w:fill="F2F5F8"/>
          </w:tcPr>
          <w:p w14:paraId="04CEEA75" w14:textId="77777777" w:rsidR="001A4EDA" w:rsidRDefault="00000000">
            <w:r>
              <w:rPr>
                <w:sz w:val="18"/>
              </w:rPr>
              <w:t>2.0</w:t>
            </w:r>
          </w:p>
        </w:tc>
        <w:tc>
          <w:tcPr>
            <w:tcW w:w="5904" w:type="dxa"/>
            <w:shd w:val="clear" w:color="auto" w:fill="F2F5F8"/>
          </w:tcPr>
          <w:p w14:paraId="1105483F" w14:textId="77777777" w:rsidR="001A4EDA" w:rsidRDefault="00000000">
            <w:r>
              <w:rPr>
                <w:sz w:val="18"/>
              </w:rPr>
              <w:t>Re-labeled as "IP &amp; Patent Certainty" in manufacturing. Reduced one tier—IP risk is real but less operationally acute than in media or healthcare.</w:t>
            </w:r>
          </w:p>
        </w:tc>
      </w:tr>
      <w:tr w:rsidR="001A4EDA" w14:paraId="39652255" w14:textId="77777777">
        <w:trPr>
          <w:jc w:val="center"/>
        </w:trPr>
        <w:tc>
          <w:tcPr>
            <w:tcW w:w="1872" w:type="dxa"/>
          </w:tcPr>
          <w:p w14:paraId="3AA830F8" w14:textId="77777777" w:rsidR="001A4EDA" w:rsidRDefault="00000000">
            <w:r>
              <w:rPr>
                <w:sz w:val="18"/>
              </w:rPr>
              <w:t>Doctrinal Alignment</w:t>
            </w:r>
          </w:p>
        </w:tc>
        <w:tc>
          <w:tcPr>
            <w:tcW w:w="1728" w:type="dxa"/>
          </w:tcPr>
          <w:p w14:paraId="616B7548" w14:textId="77777777" w:rsidR="001A4EDA" w:rsidRDefault="00000000">
            <w:r>
              <w:rPr>
                <w:sz w:val="18"/>
              </w:rPr>
              <w:t>Medium (2.0)</w:t>
            </w:r>
          </w:p>
        </w:tc>
        <w:tc>
          <w:tcPr>
            <w:tcW w:w="1872" w:type="dxa"/>
          </w:tcPr>
          <w:p w14:paraId="727F272A" w14:textId="77777777" w:rsidR="001A4EDA" w:rsidRDefault="00000000">
            <w:r>
              <w:rPr>
                <w:sz w:val="18"/>
              </w:rPr>
              <w:t>High (3.0)</w:t>
            </w:r>
          </w:p>
        </w:tc>
        <w:tc>
          <w:tcPr>
            <w:tcW w:w="864" w:type="dxa"/>
          </w:tcPr>
          <w:p w14:paraId="130E7890" w14:textId="77777777" w:rsidR="001A4EDA" w:rsidRDefault="00000000">
            <w:r>
              <w:rPr>
                <w:sz w:val="18"/>
              </w:rPr>
              <w:t>3.0</w:t>
            </w:r>
          </w:p>
        </w:tc>
        <w:tc>
          <w:tcPr>
            <w:tcW w:w="5904" w:type="dxa"/>
          </w:tcPr>
          <w:p w14:paraId="2D33DAFF" w14:textId="77777777" w:rsidR="001A4EDA" w:rsidRDefault="00000000">
            <w:r>
              <w:rPr>
                <w:sz w:val="18"/>
              </w:rPr>
              <w:t>Elevated. Manufacturing requires strict process adherence. Deviation from established procedures can cause safety incidents, quality failures, or regulatory violations.</w:t>
            </w:r>
          </w:p>
        </w:tc>
      </w:tr>
    </w:tbl>
    <w:p w14:paraId="77E2EB78" w14:textId="77777777" w:rsidR="001A4EDA" w:rsidRDefault="001A4EDA"/>
    <w:p w14:paraId="57705D91" w14:textId="77777777" w:rsidR="001A4EDA" w:rsidRDefault="00000000">
      <w:r>
        <w:t>The manufacturing configuration produces a total weight of 24.0. The key swap: Rights Certainty drops from High (3.0) to Medium (2.0) as "IP &amp; Patent Certainty," while Doctrinal Alignment rises from Medium (2.0) to High (3.0). This reflects the manufacturing reality that process adherence (doctrinal alignment) has direct safety and quality consequences, while IP risk, though real, is a slower-burning concern. The SOAP-to-OHSHAT spectrum, Critical Dimension Override, and Non-Idempotent Penalty (+15—applied t</w:t>
      </w:r>
      <w:r>
        <w:t>o all physical actuation by default) remain unchanged.</w:t>
      </w:r>
    </w:p>
    <w:tbl>
      <w:tblPr>
        <w:tblW w:w="0" w:type="auto"/>
        <w:jc w:val="center"/>
        <w:tblLook w:val="04A0" w:firstRow="1" w:lastRow="0" w:firstColumn="1" w:lastColumn="0" w:noHBand="0" w:noVBand="1"/>
      </w:tblPr>
      <w:tblGrid>
        <w:gridCol w:w="9360"/>
      </w:tblGrid>
      <w:tr w:rsidR="001A4EDA" w14:paraId="4C7D7F67" w14:textId="77777777">
        <w:trPr>
          <w:jc w:val="center"/>
        </w:trPr>
        <w:tc>
          <w:tcPr>
            <w:tcW w:w="9360" w:type="dxa"/>
            <w:shd w:val="clear" w:color="auto" w:fill="E8EDF2"/>
          </w:tcPr>
          <w:p w14:paraId="0CC27100" w14:textId="77777777" w:rsidR="001A4EDA" w:rsidRDefault="00000000">
            <w:r>
              <w:rPr>
                <w:b/>
                <w:color w:val="1F3A5F"/>
              </w:rPr>
              <w:t>SIDEBAR: Manufacturing Section Final Thoughts</w:t>
            </w:r>
          </w:p>
          <w:p w14:paraId="1A75C101" w14:textId="7901D171" w:rsidR="001A4EDA" w:rsidRDefault="00000000">
            <w:r>
              <w:rPr>
                <w:sz w:val="20"/>
              </w:rPr>
              <w:t xml:space="preserve">Manufacturing is where ADAM meets physics. </w:t>
            </w:r>
            <w:r w:rsidR="000D7331">
              <w:rPr>
                <w:sz w:val="20"/>
              </w:rPr>
              <w:t>Many</w:t>
            </w:r>
            <w:r>
              <w:rPr>
                <w:sz w:val="20"/>
              </w:rPr>
              <w:t xml:space="preserve"> other industr</w:t>
            </w:r>
            <w:r w:rsidR="0003232C">
              <w:rPr>
                <w:sz w:val="20"/>
              </w:rPr>
              <w:t>ies</w:t>
            </w:r>
            <w:r>
              <w:rPr>
                <w:sz w:val="20"/>
              </w:rPr>
              <w:t xml:space="preserve"> operate</w:t>
            </w:r>
            <w:r w:rsidR="0003232C">
              <w:rPr>
                <w:sz w:val="20"/>
              </w:rPr>
              <w:t xml:space="preserve"> </w:t>
            </w:r>
            <w:r>
              <w:rPr>
                <w:sz w:val="20"/>
              </w:rPr>
              <w:t xml:space="preserve">in the digital domain where actions can be retried, rolled back, or compensated. Manufacturing actions are permanent: a milled part cannot be un-milled, a contaminated batch cannot be un-contaminated, and a worker injury cannot be </w:t>
            </w:r>
            <w:r w:rsidR="00A66D4F">
              <w:rPr>
                <w:sz w:val="20"/>
              </w:rPr>
              <w:t>deleted</w:t>
            </w:r>
            <w:r>
              <w:rPr>
                <w:sz w:val="20"/>
              </w:rPr>
              <w:t>.</w:t>
            </w:r>
          </w:p>
          <w:p w14:paraId="3279F917" w14:textId="77777777" w:rsidR="001A4EDA" w:rsidRDefault="00000000">
            <w:r>
              <w:rPr>
                <w:sz w:val="20"/>
              </w:rPr>
              <w:lastRenderedPageBreak/>
              <w:t>This physical irreversibility is why ADAM’s governance model is essential for manufacturing. The Non-Idempotent Penalty (+15) applies to every physical actuation. Safety systems operate independently. Edge agents use cached policy with failsafe defaults. The architecture respects the laws of physics that manufacturing cannot escape.</w:t>
            </w:r>
          </w:p>
          <w:p w14:paraId="0C55A3E7" w14:textId="77777777" w:rsidR="001A4EDA" w:rsidRDefault="00000000">
            <w:r>
              <w:rPr>
                <w:sz w:val="20"/>
              </w:rPr>
              <w:t>Industry 5.0’s three pillars—human-centricity, sustainability, resilience—are not slogans in ADAM. They are governance constraints enforced by agents, scored by BOSS, and evidenced by the Flight Recorder. The 5-Director Constitution ensures that the CEO is accountable for worker wellbeing, the CFO is accountable for sustainability investments, and the CISO is accountable for OT cybersecurity. Doctrine, not aspiration.</w:t>
            </w:r>
          </w:p>
        </w:tc>
      </w:tr>
    </w:tbl>
    <w:p w14:paraId="058D6BE3" w14:textId="77777777" w:rsidR="001A4EDA" w:rsidRDefault="001A4EDA"/>
    <w:p w14:paraId="1D70924C" w14:textId="77777777" w:rsidR="001A4EDA" w:rsidRDefault="00000000">
      <w:r>
        <w:br w:type="page"/>
      </w:r>
    </w:p>
    <w:p w14:paraId="02A9353F" w14:textId="77777777" w:rsidR="001A4EDA" w:rsidRDefault="00000000">
      <w:pPr>
        <w:pStyle w:val="Heading1"/>
      </w:pPr>
      <w:bookmarkStart w:id="30" w:name="_Toc227587151"/>
      <w:r>
        <w:lastRenderedPageBreak/>
        <w:t>Part V — Cross-Industry Architecture Summary</w:t>
      </w:r>
      <w:bookmarkEnd w:id="30"/>
    </w:p>
    <w:p w14:paraId="306C57E0" w14:textId="77777777" w:rsidR="001A4EDA" w:rsidRDefault="00000000">
      <w:pPr>
        <w:pStyle w:val="Heading2"/>
      </w:pPr>
      <w:bookmarkStart w:id="31" w:name="_Toc227587152"/>
      <w:r>
        <w:t>V.1 Comparative Architecture Matrix</w:t>
      </w:r>
      <w:bookmarkEnd w:id="31"/>
    </w:p>
    <w:p w14:paraId="477409BD" w14:textId="1E748BDD" w:rsidR="001A4EDA" w:rsidRDefault="00000000">
      <w:r>
        <w:t xml:space="preserve">The following matrix provides a side-by-side comparison of how ADAM adapts to each industry. The core architecture is identical—BOSS scoring, Exception Economy, Flight Recorder, Cryptographic Authorization Vault, 5-Director Constitution, and </w:t>
      </w:r>
      <w:r w:rsidR="00430777">
        <w:t>AGT</w:t>
      </w:r>
      <w:r>
        <w:t xml:space="preserve"> integration—but the industry-specific extensions create distinct deployment profiles that reflect each industry’s operational reality.</w:t>
      </w:r>
    </w:p>
    <w:tbl>
      <w:tblPr>
        <w:tblStyle w:val="TableGrid"/>
        <w:tblW w:w="0" w:type="auto"/>
        <w:jc w:val="center"/>
        <w:tblLook w:val="04A0" w:firstRow="1" w:lastRow="0" w:firstColumn="1" w:lastColumn="0" w:noHBand="0" w:noVBand="1"/>
      </w:tblPr>
      <w:tblGrid>
        <w:gridCol w:w="2023"/>
        <w:gridCol w:w="2337"/>
        <w:gridCol w:w="2342"/>
        <w:gridCol w:w="2648"/>
      </w:tblGrid>
      <w:tr w:rsidR="001A4EDA" w14:paraId="2660A8E2" w14:textId="77777777">
        <w:trPr>
          <w:jc w:val="center"/>
        </w:trPr>
        <w:tc>
          <w:tcPr>
            <w:tcW w:w="2592" w:type="dxa"/>
            <w:shd w:val="clear" w:color="auto" w:fill="1F3A5F"/>
          </w:tcPr>
          <w:p w14:paraId="49A66E94" w14:textId="77777777" w:rsidR="001A4EDA" w:rsidRDefault="00000000">
            <w:r>
              <w:rPr>
                <w:b/>
                <w:color w:val="FFFFFF"/>
                <w:sz w:val="20"/>
              </w:rPr>
              <w:t>Architecture Element</w:t>
            </w:r>
          </w:p>
        </w:tc>
        <w:tc>
          <w:tcPr>
            <w:tcW w:w="3168" w:type="dxa"/>
            <w:shd w:val="clear" w:color="auto" w:fill="1F3A5F"/>
          </w:tcPr>
          <w:p w14:paraId="10ECF238" w14:textId="77777777" w:rsidR="001A4EDA" w:rsidRDefault="00000000">
            <w:r>
              <w:rPr>
                <w:b/>
                <w:color w:val="FFFFFF"/>
                <w:sz w:val="20"/>
              </w:rPr>
              <w:t>Media</w:t>
            </w:r>
          </w:p>
        </w:tc>
        <w:tc>
          <w:tcPr>
            <w:tcW w:w="3168" w:type="dxa"/>
            <w:shd w:val="clear" w:color="auto" w:fill="1F3A5F"/>
          </w:tcPr>
          <w:p w14:paraId="6D1508A3" w14:textId="77777777" w:rsidR="001A4EDA" w:rsidRDefault="00000000">
            <w:r>
              <w:rPr>
                <w:b/>
                <w:color w:val="FFFFFF"/>
                <w:sz w:val="20"/>
              </w:rPr>
              <w:t>Healthcare</w:t>
            </w:r>
          </w:p>
        </w:tc>
        <w:tc>
          <w:tcPr>
            <w:tcW w:w="3312" w:type="dxa"/>
            <w:shd w:val="clear" w:color="auto" w:fill="1F3A5F"/>
          </w:tcPr>
          <w:p w14:paraId="5AF93B31" w14:textId="77777777" w:rsidR="001A4EDA" w:rsidRDefault="00000000">
            <w:r>
              <w:rPr>
                <w:b/>
                <w:color w:val="FFFFFF"/>
                <w:sz w:val="20"/>
              </w:rPr>
              <w:t>Manufacturing</w:t>
            </w:r>
          </w:p>
        </w:tc>
      </w:tr>
      <w:tr w:rsidR="001A4EDA" w14:paraId="4A31DC8A" w14:textId="77777777">
        <w:trPr>
          <w:jc w:val="center"/>
        </w:trPr>
        <w:tc>
          <w:tcPr>
            <w:tcW w:w="2592" w:type="dxa"/>
          </w:tcPr>
          <w:p w14:paraId="653BB706" w14:textId="77777777" w:rsidR="001A4EDA" w:rsidRDefault="00000000">
            <w:r>
              <w:rPr>
                <w:sz w:val="18"/>
              </w:rPr>
              <w:t>Primary Interop Standards</w:t>
            </w:r>
          </w:p>
        </w:tc>
        <w:tc>
          <w:tcPr>
            <w:tcW w:w="3168" w:type="dxa"/>
          </w:tcPr>
          <w:p w14:paraId="3EE9419D" w14:textId="77777777" w:rsidR="001A4EDA" w:rsidRDefault="00000000">
            <w:r>
              <w:rPr>
                <w:sz w:val="18"/>
              </w:rPr>
              <w:t>NMOS, SMPTE ST 2110, TM Forum Open APIs, EBU MXL</w:t>
            </w:r>
          </w:p>
        </w:tc>
        <w:tc>
          <w:tcPr>
            <w:tcW w:w="3168" w:type="dxa"/>
          </w:tcPr>
          <w:p w14:paraId="1586F51C" w14:textId="77777777" w:rsidR="001A4EDA" w:rsidRDefault="00000000">
            <w:r>
              <w:rPr>
                <w:sz w:val="18"/>
              </w:rPr>
              <w:t>HL7 FHIR R4/R5, SMART on FHIR, CDISC, IHE Profiles</w:t>
            </w:r>
          </w:p>
        </w:tc>
        <w:tc>
          <w:tcPr>
            <w:tcW w:w="3312" w:type="dxa"/>
          </w:tcPr>
          <w:p w14:paraId="7575FB2D" w14:textId="77777777" w:rsidR="001A4EDA" w:rsidRDefault="00000000">
            <w:r>
              <w:rPr>
                <w:sz w:val="18"/>
              </w:rPr>
              <w:t>OPC UA (IEC 62541), MQTT/Sparkplug B, MTConnect, AutomationML (IEC 62714), ISA-95</w:t>
            </w:r>
          </w:p>
        </w:tc>
      </w:tr>
      <w:tr w:rsidR="001A4EDA" w14:paraId="24BDEC90" w14:textId="77777777">
        <w:trPr>
          <w:jc w:val="center"/>
        </w:trPr>
        <w:tc>
          <w:tcPr>
            <w:tcW w:w="2592" w:type="dxa"/>
            <w:shd w:val="clear" w:color="auto" w:fill="F2F5F8"/>
          </w:tcPr>
          <w:p w14:paraId="75E68940" w14:textId="77777777" w:rsidR="001A4EDA" w:rsidRDefault="00000000">
            <w:r>
              <w:rPr>
                <w:sz w:val="18"/>
              </w:rPr>
              <w:t>Security Framework</w:t>
            </w:r>
          </w:p>
        </w:tc>
        <w:tc>
          <w:tcPr>
            <w:tcW w:w="3168" w:type="dxa"/>
            <w:shd w:val="clear" w:color="auto" w:fill="F2F5F8"/>
          </w:tcPr>
          <w:p w14:paraId="282C4467" w14:textId="74F46C78" w:rsidR="001A4EDA" w:rsidRDefault="00430777">
            <w:r>
              <w:rPr>
                <w:sz w:val="18"/>
              </w:rPr>
              <w:t>AGT + C2PA + DRM + Editorial Trust</w:t>
            </w:r>
          </w:p>
        </w:tc>
        <w:tc>
          <w:tcPr>
            <w:tcW w:w="3168" w:type="dxa"/>
            <w:shd w:val="clear" w:color="auto" w:fill="F2F5F8"/>
          </w:tcPr>
          <w:p w14:paraId="4548E97A" w14:textId="68E36F68" w:rsidR="001A4EDA" w:rsidRDefault="00430777">
            <w:r>
              <w:rPr>
                <w:sz w:val="18"/>
              </w:rPr>
              <w:t>AGT + HIPAA 2026 + Zero Trust (SP 800-207) + Quantum-Safe (FIPS 203/204/205)</w:t>
            </w:r>
          </w:p>
        </w:tc>
        <w:tc>
          <w:tcPr>
            <w:tcW w:w="3312" w:type="dxa"/>
            <w:shd w:val="clear" w:color="auto" w:fill="F2F5F8"/>
          </w:tcPr>
          <w:p w14:paraId="1931C0CB" w14:textId="46C20285" w:rsidR="001A4EDA" w:rsidRDefault="00430777">
            <w:r>
              <w:rPr>
                <w:sz w:val="18"/>
              </w:rPr>
              <w:t>AGT + IEC 62443 + OT/ICS Isolation + Safety System Independence</w:t>
            </w:r>
          </w:p>
        </w:tc>
      </w:tr>
      <w:tr w:rsidR="001A4EDA" w14:paraId="59E9FE1F" w14:textId="77777777">
        <w:trPr>
          <w:jc w:val="center"/>
        </w:trPr>
        <w:tc>
          <w:tcPr>
            <w:tcW w:w="2592" w:type="dxa"/>
          </w:tcPr>
          <w:p w14:paraId="2529085C" w14:textId="77777777" w:rsidR="001A4EDA" w:rsidRDefault="00000000">
            <w:r>
              <w:rPr>
                <w:sz w:val="18"/>
              </w:rPr>
              <w:t>Digital Twin Extensions</w:t>
            </w:r>
          </w:p>
        </w:tc>
        <w:tc>
          <w:tcPr>
            <w:tcW w:w="3168" w:type="dxa"/>
          </w:tcPr>
          <w:p w14:paraId="3232862B" w14:textId="77777777" w:rsidR="001A4EDA" w:rsidRDefault="00000000">
            <w:r>
              <w:rPr>
                <w:sz w:val="18"/>
              </w:rPr>
              <w:t>Content Lifecycle, Audience, Rights, Broadcast Infrastructure</w:t>
            </w:r>
          </w:p>
        </w:tc>
        <w:tc>
          <w:tcPr>
            <w:tcW w:w="3168" w:type="dxa"/>
          </w:tcPr>
          <w:p w14:paraId="5751E3CE" w14:textId="77777777" w:rsidR="001A4EDA" w:rsidRDefault="00000000">
            <w:r>
              <w:rPr>
                <w:sz w:val="18"/>
              </w:rPr>
              <w:t>Patient Journey, Clinical Trial, Drug Pipeline, Facility Operations</w:t>
            </w:r>
          </w:p>
        </w:tc>
        <w:tc>
          <w:tcPr>
            <w:tcW w:w="3312" w:type="dxa"/>
          </w:tcPr>
          <w:p w14:paraId="7B9D3AE9" w14:textId="77777777" w:rsidR="001A4EDA" w:rsidRDefault="00000000">
            <w:r>
              <w:rPr>
                <w:sz w:val="18"/>
              </w:rPr>
              <w:t>Production Line, Equipment (AAS), Supply Chain, Energy/Sustainability</w:t>
            </w:r>
          </w:p>
        </w:tc>
      </w:tr>
      <w:tr w:rsidR="001A4EDA" w14:paraId="35AAA386" w14:textId="77777777">
        <w:trPr>
          <w:jc w:val="center"/>
        </w:trPr>
        <w:tc>
          <w:tcPr>
            <w:tcW w:w="2592" w:type="dxa"/>
            <w:shd w:val="clear" w:color="auto" w:fill="F2F5F8"/>
          </w:tcPr>
          <w:p w14:paraId="00C6C04F" w14:textId="77777777" w:rsidR="001A4EDA" w:rsidRDefault="00000000">
            <w:r>
              <w:rPr>
                <w:sz w:val="18"/>
              </w:rPr>
              <w:t>Regulatory Compliance</w:t>
            </w:r>
          </w:p>
        </w:tc>
        <w:tc>
          <w:tcPr>
            <w:tcW w:w="3168" w:type="dxa"/>
            <w:shd w:val="clear" w:color="auto" w:fill="F2F5F8"/>
          </w:tcPr>
          <w:p w14:paraId="63CC5064" w14:textId="77777777" w:rsidR="001A4EDA" w:rsidRDefault="00000000">
            <w:r>
              <w:rPr>
                <w:sz w:val="18"/>
              </w:rPr>
              <w:t>AVMSD, GDPR, EU AI Act, National Broadcasting Regs</w:t>
            </w:r>
          </w:p>
        </w:tc>
        <w:tc>
          <w:tcPr>
            <w:tcW w:w="3168" w:type="dxa"/>
            <w:shd w:val="clear" w:color="auto" w:fill="F2F5F8"/>
          </w:tcPr>
          <w:p w14:paraId="3035074A" w14:textId="77777777" w:rsidR="001A4EDA" w:rsidRDefault="00000000">
            <w:r>
              <w:rPr>
                <w:sz w:val="18"/>
              </w:rPr>
              <w:t>HIPAA, FDA SaMD, 21 CFR Part 11, EU MDR/IVDR, PIPL, GxP</w:t>
            </w:r>
          </w:p>
        </w:tc>
        <w:tc>
          <w:tcPr>
            <w:tcW w:w="3312" w:type="dxa"/>
            <w:shd w:val="clear" w:color="auto" w:fill="F2F5F8"/>
          </w:tcPr>
          <w:p w14:paraId="7D656397" w14:textId="77777777" w:rsidR="001A4EDA" w:rsidRDefault="00000000">
            <w:r>
              <w:rPr>
                <w:sz w:val="18"/>
              </w:rPr>
              <w:t>EU Machinery Reg 2023/1230, IEC 62443, NIS2, CSRD, Environmental Regs</w:t>
            </w:r>
          </w:p>
        </w:tc>
      </w:tr>
      <w:tr w:rsidR="001A4EDA" w14:paraId="1ED28F5C" w14:textId="77777777">
        <w:trPr>
          <w:jc w:val="center"/>
        </w:trPr>
        <w:tc>
          <w:tcPr>
            <w:tcW w:w="2592" w:type="dxa"/>
          </w:tcPr>
          <w:p w14:paraId="6E501555" w14:textId="77777777" w:rsidR="001A4EDA" w:rsidRDefault="00000000">
            <w:r>
              <w:rPr>
                <w:sz w:val="18"/>
              </w:rPr>
              <w:t>BOSS Customization</w:t>
            </w:r>
          </w:p>
        </w:tc>
        <w:tc>
          <w:tcPr>
            <w:tcW w:w="3168" w:type="dxa"/>
          </w:tcPr>
          <w:p w14:paraId="114F4CED" w14:textId="77777777" w:rsidR="001A4EDA" w:rsidRDefault="00000000">
            <w:r>
              <w:rPr>
                <w:sz w:val="18"/>
              </w:rPr>
              <w:t>Reputational Risk + Rights Certainty elevated to Very High</w:t>
            </w:r>
          </w:p>
        </w:tc>
        <w:tc>
          <w:tcPr>
            <w:tcW w:w="3168" w:type="dxa"/>
          </w:tcPr>
          <w:p w14:paraId="2A46DB11" w14:textId="77777777" w:rsidR="001A4EDA" w:rsidRDefault="00000000">
            <w:r>
              <w:rPr>
                <w:sz w:val="18"/>
              </w:rPr>
              <w:t>Regulatory Impact elevated to Very High; Consent Certainty replaces Rights</w:t>
            </w:r>
          </w:p>
        </w:tc>
        <w:tc>
          <w:tcPr>
            <w:tcW w:w="3312" w:type="dxa"/>
          </w:tcPr>
          <w:p w14:paraId="7B4EF323" w14:textId="77777777" w:rsidR="001A4EDA" w:rsidRDefault="00000000">
            <w:r>
              <w:rPr>
                <w:sz w:val="18"/>
              </w:rPr>
              <w:t>Doctrinal Alignment elevated to High; IP/Patent Certainty replaces Rights</w:t>
            </w:r>
          </w:p>
        </w:tc>
      </w:tr>
      <w:tr w:rsidR="001A4EDA" w14:paraId="5A4A4924" w14:textId="77777777">
        <w:trPr>
          <w:jc w:val="center"/>
        </w:trPr>
        <w:tc>
          <w:tcPr>
            <w:tcW w:w="2592" w:type="dxa"/>
            <w:shd w:val="clear" w:color="auto" w:fill="F2F5F8"/>
          </w:tcPr>
          <w:p w14:paraId="0ED289D3" w14:textId="77777777" w:rsidR="001A4EDA" w:rsidRDefault="00000000">
            <w:r>
              <w:rPr>
                <w:sz w:val="18"/>
              </w:rPr>
              <w:t>Agent Count (Core + Industry)</w:t>
            </w:r>
          </w:p>
        </w:tc>
        <w:tc>
          <w:tcPr>
            <w:tcW w:w="3168" w:type="dxa"/>
            <w:shd w:val="clear" w:color="auto" w:fill="F2F5F8"/>
          </w:tcPr>
          <w:p w14:paraId="3DFE2F7B" w14:textId="77777777" w:rsidR="001A4EDA" w:rsidRDefault="00000000">
            <w:r>
              <w:rPr>
                <w:sz w:val="18"/>
              </w:rPr>
              <w:t>81 + 8 = 89</w:t>
            </w:r>
          </w:p>
        </w:tc>
        <w:tc>
          <w:tcPr>
            <w:tcW w:w="3168" w:type="dxa"/>
            <w:shd w:val="clear" w:color="auto" w:fill="F2F5F8"/>
          </w:tcPr>
          <w:p w14:paraId="5B7054A1" w14:textId="77777777" w:rsidR="001A4EDA" w:rsidRDefault="00000000">
            <w:r>
              <w:rPr>
                <w:sz w:val="18"/>
              </w:rPr>
              <w:t>81 + 8 = 89</w:t>
            </w:r>
          </w:p>
        </w:tc>
        <w:tc>
          <w:tcPr>
            <w:tcW w:w="3312" w:type="dxa"/>
            <w:shd w:val="clear" w:color="auto" w:fill="F2F5F8"/>
          </w:tcPr>
          <w:p w14:paraId="7F6B813F" w14:textId="77777777" w:rsidR="001A4EDA" w:rsidRDefault="00000000">
            <w:r>
              <w:rPr>
                <w:sz w:val="18"/>
              </w:rPr>
              <w:t>81 + 8 = 89</w:t>
            </w:r>
          </w:p>
        </w:tc>
      </w:tr>
      <w:tr w:rsidR="001A4EDA" w14:paraId="4C64BBD7" w14:textId="77777777">
        <w:trPr>
          <w:jc w:val="center"/>
        </w:trPr>
        <w:tc>
          <w:tcPr>
            <w:tcW w:w="2592" w:type="dxa"/>
          </w:tcPr>
          <w:p w14:paraId="6EE4E2A3" w14:textId="77777777" w:rsidR="001A4EDA" w:rsidRDefault="00000000">
            <w:r>
              <w:rPr>
                <w:sz w:val="18"/>
              </w:rPr>
              <w:t>Edge Deployment</w:t>
            </w:r>
          </w:p>
        </w:tc>
        <w:tc>
          <w:tcPr>
            <w:tcW w:w="3168" w:type="dxa"/>
          </w:tcPr>
          <w:p w14:paraId="5DD76B05" w14:textId="77777777" w:rsidR="001A4EDA" w:rsidRDefault="00000000">
            <w:r>
              <w:rPr>
                <w:sz w:val="18"/>
              </w:rPr>
              <w:t>Live production control rooms</w:t>
            </w:r>
          </w:p>
        </w:tc>
        <w:tc>
          <w:tcPr>
            <w:tcW w:w="3168" w:type="dxa"/>
          </w:tcPr>
          <w:p w14:paraId="2C31768F" w14:textId="77777777" w:rsidR="001A4EDA" w:rsidRDefault="00000000">
            <w:r>
              <w:rPr>
                <w:sz w:val="18"/>
              </w:rPr>
              <w:t>Medical device and bedside systems</w:t>
            </w:r>
          </w:p>
        </w:tc>
        <w:tc>
          <w:tcPr>
            <w:tcW w:w="3312" w:type="dxa"/>
          </w:tcPr>
          <w:p w14:paraId="009E1A54" w14:textId="77777777" w:rsidR="001A4EDA" w:rsidRDefault="00000000">
            <w:r>
              <w:rPr>
                <w:sz w:val="18"/>
              </w:rPr>
              <w:t>Production floor, PLC-adjacent, safety system monitoring</w:t>
            </w:r>
          </w:p>
        </w:tc>
      </w:tr>
      <w:tr w:rsidR="001A4EDA" w14:paraId="3D1FF05D" w14:textId="77777777">
        <w:trPr>
          <w:jc w:val="center"/>
        </w:trPr>
        <w:tc>
          <w:tcPr>
            <w:tcW w:w="2592" w:type="dxa"/>
            <w:shd w:val="clear" w:color="auto" w:fill="F2F5F8"/>
          </w:tcPr>
          <w:p w14:paraId="4F871134" w14:textId="77777777" w:rsidR="001A4EDA" w:rsidRDefault="00000000">
            <w:r>
              <w:rPr>
                <w:sz w:val="18"/>
              </w:rPr>
              <w:t>Authorization Vault Extensions</w:t>
            </w:r>
          </w:p>
        </w:tc>
        <w:tc>
          <w:tcPr>
            <w:tcW w:w="3168" w:type="dxa"/>
            <w:shd w:val="clear" w:color="auto" w:fill="F2F5F8"/>
          </w:tcPr>
          <w:p w14:paraId="0BABE4FD" w14:textId="77777777" w:rsidR="001A4EDA" w:rsidRDefault="00000000">
            <w:r>
              <w:rPr>
                <w:sz w:val="18"/>
              </w:rPr>
              <w:t>Territorial rights, holdbacks, exclusivity, creator consent</w:t>
            </w:r>
          </w:p>
        </w:tc>
        <w:tc>
          <w:tcPr>
            <w:tcW w:w="3168" w:type="dxa"/>
            <w:shd w:val="clear" w:color="auto" w:fill="F2F5F8"/>
          </w:tcPr>
          <w:p w14:paraId="5C7C835E" w14:textId="77777777" w:rsidR="001A4EDA" w:rsidRDefault="00000000">
            <w:r>
              <w:rPr>
                <w:sz w:val="18"/>
              </w:rPr>
              <w:t>Patient consent, IRB authorization, research data use, specimen consent</w:t>
            </w:r>
          </w:p>
        </w:tc>
        <w:tc>
          <w:tcPr>
            <w:tcW w:w="3312" w:type="dxa"/>
            <w:shd w:val="clear" w:color="auto" w:fill="F2F5F8"/>
          </w:tcPr>
          <w:p w14:paraId="2FC8959A" w14:textId="77777777" w:rsidR="001A4EDA" w:rsidRDefault="00000000">
            <w:r>
              <w:rPr>
                <w:sz w:val="18"/>
              </w:rPr>
              <w:t>Equipment certification, safety permits, environmental permits, quality holds</w:t>
            </w:r>
          </w:p>
        </w:tc>
      </w:tr>
      <w:tr w:rsidR="001A4EDA" w14:paraId="42552526" w14:textId="77777777">
        <w:trPr>
          <w:jc w:val="center"/>
        </w:trPr>
        <w:tc>
          <w:tcPr>
            <w:tcW w:w="2592" w:type="dxa"/>
          </w:tcPr>
          <w:p w14:paraId="0D54FB33" w14:textId="77777777" w:rsidR="001A4EDA" w:rsidRDefault="00000000">
            <w:r>
              <w:rPr>
                <w:sz w:val="18"/>
              </w:rPr>
              <w:t>Quantum-Safe Requirements</w:t>
            </w:r>
          </w:p>
        </w:tc>
        <w:tc>
          <w:tcPr>
            <w:tcW w:w="3168" w:type="dxa"/>
          </w:tcPr>
          <w:p w14:paraId="10359E16" w14:textId="77777777" w:rsidR="001A4EDA" w:rsidRDefault="00000000">
            <w:r>
              <w:rPr>
                <w:sz w:val="18"/>
              </w:rPr>
              <w:t>Standard transition timeline</w:t>
            </w:r>
          </w:p>
        </w:tc>
        <w:tc>
          <w:tcPr>
            <w:tcW w:w="3168" w:type="dxa"/>
          </w:tcPr>
          <w:p w14:paraId="73FE5B33" w14:textId="77777777" w:rsidR="001A4EDA" w:rsidRDefault="00000000">
            <w:r>
              <w:rPr>
                <w:sz w:val="18"/>
              </w:rPr>
              <w:t>Accelerated: 10+ year data sensitivity window requires immediate PQC migration</w:t>
            </w:r>
          </w:p>
        </w:tc>
        <w:tc>
          <w:tcPr>
            <w:tcW w:w="3312" w:type="dxa"/>
          </w:tcPr>
          <w:p w14:paraId="7FFDAFFB" w14:textId="77777777" w:rsidR="001A4EDA" w:rsidRDefault="00000000">
            <w:r>
              <w:rPr>
                <w:sz w:val="18"/>
              </w:rPr>
              <w:t>Standard timeline; accelerated for defense manufacturing</w:t>
            </w:r>
          </w:p>
        </w:tc>
      </w:tr>
      <w:tr w:rsidR="001A4EDA" w14:paraId="76C2180F" w14:textId="77777777">
        <w:trPr>
          <w:jc w:val="center"/>
        </w:trPr>
        <w:tc>
          <w:tcPr>
            <w:tcW w:w="2592" w:type="dxa"/>
            <w:shd w:val="clear" w:color="auto" w:fill="F2F5F8"/>
          </w:tcPr>
          <w:p w14:paraId="577EEB1C" w14:textId="77777777" w:rsidR="001A4EDA" w:rsidRDefault="00000000">
            <w:r>
              <w:rPr>
                <w:sz w:val="18"/>
              </w:rPr>
              <w:t>Fictional Company Example</w:t>
            </w:r>
          </w:p>
        </w:tc>
        <w:tc>
          <w:tcPr>
            <w:tcW w:w="3168" w:type="dxa"/>
            <w:shd w:val="clear" w:color="auto" w:fill="F2F5F8"/>
          </w:tcPr>
          <w:p w14:paraId="3B0E75E0" w14:textId="77777777" w:rsidR="001A4EDA" w:rsidRDefault="00000000">
            <w:r>
              <w:rPr>
                <w:sz w:val="18"/>
              </w:rPr>
              <w:t>NetStreamX</w:t>
            </w:r>
          </w:p>
        </w:tc>
        <w:tc>
          <w:tcPr>
            <w:tcW w:w="3168" w:type="dxa"/>
            <w:shd w:val="clear" w:color="auto" w:fill="F2F5F8"/>
          </w:tcPr>
          <w:p w14:paraId="34CCF103" w14:textId="77777777" w:rsidR="001A4EDA" w:rsidRDefault="00000000">
            <w:r>
              <w:rPr>
                <w:sz w:val="18"/>
              </w:rPr>
              <w:t>NetHealthX</w:t>
            </w:r>
          </w:p>
        </w:tc>
        <w:tc>
          <w:tcPr>
            <w:tcW w:w="3312" w:type="dxa"/>
            <w:shd w:val="clear" w:color="auto" w:fill="F2F5F8"/>
          </w:tcPr>
          <w:p w14:paraId="3546C360" w14:textId="77777777" w:rsidR="001A4EDA" w:rsidRDefault="00000000">
            <w:r>
              <w:rPr>
                <w:sz w:val="18"/>
              </w:rPr>
              <w:t>NetMakeItX</w:t>
            </w:r>
          </w:p>
        </w:tc>
      </w:tr>
    </w:tbl>
    <w:p w14:paraId="0F21DDA8" w14:textId="77777777" w:rsidR="001A4EDA" w:rsidRDefault="001A4EDA"/>
    <w:p w14:paraId="21412038" w14:textId="77777777" w:rsidR="001A4EDA" w:rsidRDefault="00000000">
      <w:pPr>
        <w:pStyle w:val="Heading2"/>
      </w:pPr>
      <w:bookmarkStart w:id="32" w:name="_Toc227587153"/>
      <w:r>
        <w:lastRenderedPageBreak/>
        <w:t>V.2 Universal ADAM Capabilities Across All Industries</w:t>
      </w:r>
      <w:bookmarkEnd w:id="32"/>
    </w:p>
    <w:p w14:paraId="5A7DC1EF" w14:textId="77777777" w:rsidR="001A4EDA" w:rsidRDefault="00000000">
      <w:r>
        <w:t>Regardless of industry, every ADAM deployment shares these non-negotiable architectural properties. The industry-specific extensions defined in this document customize the parameters and protocols, but the governance mechanism is identical. This universality is not accidental—it is the architectural principle that makes ADAM transferable across industries without losing governance rigor.</w:t>
      </w:r>
    </w:p>
    <w:tbl>
      <w:tblPr>
        <w:tblStyle w:val="TableGrid"/>
        <w:tblW w:w="0" w:type="auto"/>
        <w:jc w:val="center"/>
        <w:tblLook w:val="04A0" w:firstRow="1" w:lastRow="0" w:firstColumn="1" w:lastColumn="0" w:noHBand="0" w:noVBand="1"/>
      </w:tblPr>
      <w:tblGrid>
        <w:gridCol w:w="2322"/>
        <w:gridCol w:w="3269"/>
        <w:gridCol w:w="3759"/>
      </w:tblGrid>
      <w:tr w:rsidR="001A4EDA" w14:paraId="27FE71F6" w14:textId="77777777">
        <w:trPr>
          <w:jc w:val="center"/>
        </w:trPr>
        <w:tc>
          <w:tcPr>
            <w:tcW w:w="2880" w:type="dxa"/>
            <w:shd w:val="clear" w:color="auto" w:fill="1F3A5F"/>
          </w:tcPr>
          <w:p w14:paraId="2585D381" w14:textId="77777777" w:rsidR="001A4EDA" w:rsidRDefault="00000000">
            <w:r>
              <w:rPr>
                <w:b/>
                <w:color w:val="FFFFFF"/>
                <w:sz w:val="20"/>
              </w:rPr>
              <w:t>Capability</w:t>
            </w:r>
          </w:p>
        </w:tc>
        <w:tc>
          <w:tcPr>
            <w:tcW w:w="4320" w:type="dxa"/>
            <w:shd w:val="clear" w:color="auto" w:fill="1F3A5F"/>
          </w:tcPr>
          <w:p w14:paraId="1A0FC200" w14:textId="77777777" w:rsidR="001A4EDA" w:rsidRDefault="00000000">
            <w:r>
              <w:rPr>
                <w:b/>
                <w:color w:val="FFFFFF"/>
                <w:sz w:val="20"/>
              </w:rPr>
              <w:t>What It Provides</w:t>
            </w:r>
          </w:p>
        </w:tc>
        <w:tc>
          <w:tcPr>
            <w:tcW w:w="5040" w:type="dxa"/>
            <w:shd w:val="clear" w:color="auto" w:fill="1F3A5F"/>
          </w:tcPr>
          <w:p w14:paraId="69922E13" w14:textId="77777777" w:rsidR="001A4EDA" w:rsidRDefault="00000000">
            <w:r>
              <w:rPr>
                <w:b/>
                <w:color w:val="FFFFFF"/>
                <w:sz w:val="20"/>
              </w:rPr>
              <w:t>Why It Is Universal</w:t>
            </w:r>
          </w:p>
        </w:tc>
      </w:tr>
      <w:tr w:rsidR="001A4EDA" w14:paraId="1933BE34" w14:textId="77777777">
        <w:trPr>
          <w:jc w:val="center"/>
        </w:trPr>
        <w:tc>
          <w:tcPr>
            <w:tcW w:w="2880" w:type="dxa"/>
          </w:tcPr>
          <w:p w14:paraId="6766A2C9" w14:textId="77777777" w:rsidR="001A4EDA" w:rsidRDefault="00000000">
            <w:r>
              <w:rPr>
                <w:sz w:val="18"/>
              </w:rPr>
              <w:t>BOSS Scoring</w:t>
            </w:r>
          </w:p>
        </w:tc>
        <w:tc>
          <w:tcPr>
            <w:tcW w:w="4320" w:type="dxa"/>
          </w:tcPr>
          <w:p w14:paraId="677FF09A" w14:textId="77777777" w:rsidR="001A4EDA" w:rsidRDefault="00000000">
            <w:r>
              <w:rPr>
                <w:sz w:val="18"/>
              </w:rPr>
              <w:t>Multi-dimensional risk assessment (0–100) for every autonomous action. 7 dimensions with Priority Tier weighting. Composite formula: C = weighted sum / total weight.</w:t>
            </w:r>
          </w:p>
        </w:tc>
        <w:tc>
          <w:tcPr>
            <w:tcW w:w="5040" w:type="dxa"/>
          </w:tcPr>
          <w:p w14:paraId="323E4041" w14:textId="77777777" w:rsidR="001A4EDA" w:rsidRDefault="00000000">
            <w:r>
              <w:rPr>
                <w:sz w:val="18"/>
              </w:rPr>
              <w:t>Every industry has risk. The dimensions are weighted differently, but the scoring mechanism is identical.</w:t>
            </w:r>
          </w:p>
        </w:tc>
      </w:tr>
      <w:tr w:rsidR="001A4EDA" w14:paraId="5E1B5D0C" w14:textId="77777777">
        <w:trPr>
          <w:jc w:val="center"/>
        </w:trPr>
        <w:tc>
          <w:tcPr>
            <w:tcW w:w="2880" w:type="dxa"/>
            <w:shd w:val="clear" w:color="auto" w:fill="F2F5F8"/>
          </w:tcPr>
          <w:p w14:paraId="71149A65" w14:textId="77777777" w:rsidR="001A4EDA" w:rsidRDefault="00000000">
            <w:r>
              <w:rPr>
                <w:sz w:val="18"/>
              </w:rPr>
              <w:t>Exception Economy</w:t>
            </w:r>
          </w:p>
        </w:tc>
        <w:tc>
          <w:tcPr>
            <w:tcW w:w="4320" w:type="dxa"/>
            <w:shd w:val="clear" w:color="auto" w:fill="F2F5F8"/>
          </w:tcPr>
          <w:p w14:paraId="3E73F5CD" w14:textId="77777777" w:rsidR="001A4EDA" w:rsidRDefault="00000000">
            <w:r>
              <w:rPr>
                <w:sz w:val="18"/>
              </w:rPr>
              <w:t>Structured escalation based on consequence, not convention. SOAP-to-OHSHAT spectrum.</w:t>
            </w:r>
          </w:p>
        </w:tc>
        <w:tc>
          <w:tcPr>
            <w:tcW w:w="5040" w:type="dxa"/>
            <w:shd w:val="clear" w:color="auto" w:fill="F2F5F8"/>
          </w:tcPr>
          <w:p w14:paraId="01A97C8A" w14:textId="77777777" w:rsidR="001A4EDA" w:rsidRDefault="00000000">
            <w:r>
              <w:rPr>
                <w:sz w:val="18"/>
              </w:rPr>
              <w:t>Every industry has exceptions. The triggers differ, but the economic model (autonomy as default, human involvement earned by consequence) is universal.</w:t>
            </w:r>
          </w:p>
        </w:tc>
      </w:tr>
      <w:tr w:rsidR="001A4EDA" w14:paraId="4E8DEBC8" w14:textId="77777777">
        <w:trPr>
          <w:jc w:val="center"/>
        </w:trPr>
        <w:tc>
          <w:tcPr>
            <w:tcW w:w="2880" w:type="dxa"/>
          </w:tcPr>
          <w:p w14:paraId="5ACD87ED" w14:textId="77777777" w:rsidR="001A4EDA" w:rsidRDefault="00000000">
            <w:r>
              <w:rPr>
                <w:sz w:val="18"/>
              </w:rPr>
              <w:t>Flight Recorder</w:t>
            </w:r>
          </w:p>
        </w:tc>
        <w:tc>
          <w:tcPr>
            <w:tcW w:w="4320" w:type="dxa"/>
          </w:tcPr>
          <w:p w14:paraId="19E469FD" w14:textId="77777777" w:rsidR="001A4EDA" w:rsidRDefault="00000000">
            <w:r>
              <w:rPr>
                <w:sz w:val="18"/>
              </w:rPr>
              <w:t>Immutable, hash-chained, tamper-evident evidence for every action. 7-year WORM retention (extendable per industry).</w:t>
            </w:r>
          </w:p>
        </w:tc>
        <w:tc>
          <w:tcPr>
            <w:tcW w:w="5040" w:type="dxa"/>
          </w:tcPr>
          <w:p w14:paraId="6AC2CF0C" w14:textId="77777777" w:rsidR="001A4EDA" w:rsidRDefault="00000000">
            <w:r>
              <w:rPr>
                <w:sz w:val="18"/>
              </w:rPr>
              <w:t>Every industry has auditors. The evidence schemas differ, but the integrity guarantees are identical.</w:t>
            </w:r>
          </w:p>
        </w:tc>
      </w:tr>
      <w:tr w:rsidR="001A4EDA" w14:paraId="4836C9D8" w14:textId="77777777">
        <w:trPr>
          <w:jc w:val="center"/>
        </w:trPr>
        <w:tc>
          <w:tcPr>
            <w:tcW w:w="2880" w:type="dxa"/>
            <w:shd w:val="clear" w:color="auto" w:fill="F2F5F8"/>
          </w:tcPr>
          <w:p w14:paraId="359B2B21" w14:textId="77777777" w:rsidR="001A4EDA" w:rsidRDefault="00000000">
            <w:r>
              <w:rPr>
                <w:sz w:val="18"/>
              </w:rPr>
              <w:t>Cryptographic Authorization Vault (Privacy Lockbox)</w:t>
            </w:r>
          </w:p>
        </w:tc>
        <w:tc>
          <w:tcPr>
            <w:tcW w:w="4320" w:type="dxa"/>
            <w:shd w:val="clear" w:color="auto" w:fill="F2F5F8"/>
          </w:tcPr>
          <w:p w14:paraId="1CD251CE" w14:textId="77777777" w:rsidR="001A4EDA" w:rsidRDefault="00000000">
            <w:r>
              <w:rPr>
                <w:sz w:val="18"/>
              </w:rPr>
              <w:t>Privacy-preserving authorization with cryptographic proof. Built-in open-source cryptographic ledgering architecture.</w:t>
            </w:r>
          </w:p>
        </w:tc>
        <w:tc>
          <w:tcPr>
            <w:tcW w:w="5040" w:type="dxa"/>
            <w:shd w:val="clear" w:color="auto" w:fill="F2F5F8"/>
          </w:tcPr>
          <w:p w14:paraId="4B9903E2" w14:textId="77777777" w:rsidR="001A4EDA" w:rsidRDefault="00000000">
            <w:r>
              <w:rPr>
                <w:sz w:val="18"/>
              </w:rPr>
              <w:t>Every industry has authorization requirements. The patterns differ, but the vault architecture is identical.</w:t>
            </w:r>
          </w:p>
        </w:tc>
      </w:tr>
      <w:tr w:rsidR="001A4EDA" w14:paraId="4E3FE33B" w14:textId="77777777">
        <w:trPr>
          <w:jc w:val="center"/>
        </w:trPr>
        <w:tc>
          <w:tcPr>
            <w:tcW w:w="2880" w:type="dxa"/>
          </w:tcPr>
          <w:p w14:paraId="78EA4E03" w14:textId="77777777" w:rsidR="001A4EDA" w:rsidRDefault="00000000">
            <w:r>
              <w:rPr>
                <w:sz w:val="18"/>
              </w:rPr>
              <w:t>5-Director Constitution</w:t>
            </w:r>
          </w:p>
        </w:tc>
        <w:tc>
          <w:tcPr>
            <w:tcW w:w="4320" w:type="dxa"/>
          </w:tcPr>
          <w:p w14:paraId="4FBFD488" w14:textId="77777777" w:rsidR="001A4EDA" w:rsidRDefault="00000000">
            <w:r>
              <w:rPr>
                <w:sz w:val="18"/>
              </w:rPr>
              <w:t>Human accountability through CEO, CFO, Legal Director, Market Director, CISO.</w:t>
            </w:r>
          </w:p>
        </w:tc>
        <w:tc>
          <w:tcPr>
            <w:tcW w:w="5040" w:type="dxa"/>
          </w:tcPr>
          <w:p w14:paraId="0D494099" w14:textId="77777777" w:rsidR="001A4EDA" w:rsidRDefault="00000000">
            <w:r>
              <w:rPr>
                <w:sz w:val="18"/>
              </w:rPr>
              <w:t>Every industry requires human accountability. The director roles remain constant across all industries.</w:t>
            </w:r>
          </w:p>
        </w:tc>
      </w:tr>
      <w:tr w:rsidR="001A4EDA" w14:paraId="07A07AA6" w14:textId="77777777">
        <w:trPr>
          <w:jc w:val="center"/>
        </w:trPr>
        <w:tc>
          <w:tcPr>
            <w:tcW w:w="2880" w:type="dxa"/>
            <w:shd w:val="clear" w:color="auto" w:fill="F2F5F8"/>
          </w:tcPr>
          <w:p w14:paraId="03FD2A60" w14:textId="77777777" w:rsidR="001A4EDA" w:rsidRDefault="00000000">
            <w:r>
              <w:rPr>
                <w:sz w:val="18"/>
              </w:rPr>
              <w:t>Policy-Bounded Autonomy</w:t>
            </w:r>
          </w:p>
        </w:tc>
        <w:tc>
          <w:tcPr>
            <w:tcW w:w="4320" w:type="dxa"/>
            <w:shd w:val="clear" w:color="auto" w:fill="F2F5F8"/>
          </w:tcPr>
          <w:p w14:paraId="224F537C" w14:textId="77777777" w:rsidR="001A4EDA" w:rsidRDefault="00000000">
            <w:r>
              <w:rPr>
                <w:sz w:val="18"/>
              </w:rPr>
              <w:t>Runtime policy enforcement with deterministic constraint evaluation.</w:t>
            </w:r>
          </w:p>
        </w:tc>
        <w:tc>
          <w:tcPr>
            <w:tcW w:w="5040" w:type="dxa"/>
            <w:shd w:val="clear" w:color="auto" w:fill="F2F5F8"/>
          </w:tcPr>
          <w:p w14:paraId="58426EC6" w14:textId="77777777" w:rsidR="001A4EDA" w:rsidRDefault="00000000">
            <w:r>
              <w:rPr>
                <w:sz w:val="18"/>
              </w:rPr>
              <w:t>Every industry has policies. The policy content differs, but the enforcement mechanism is identical.</w:t>
            </w:r>
          </w:p>
        </w:tc>
      </w:tr>
      <w:tr w:rsidR="001A4EDA" w14:paraId="5BD8FEFE" w14:textId="77777777">
        <w:trPr>
          <w:jc w:val="center"/>
        </w:trPr>
        <w:tc>
          <w:tcPr>
            <w:tcW w:w="2880" w:type="dxa"/>
          </w:tcPr>
          <w:p w14:paraId="328DE82E" w14:textId="1DBDB015" w:rsidR="001A4EDA" w:rsidRDefault="00430777">
            <w:r>
              <w:rPr>
                <w:sz w:val="18"/>
              </w:rPr>
              <w:t>AGT Integration</w:t>
            </w:r>
          </w:p>
        </w:tc>
        <w:tc>
          <w:tcPr>
            <w:tcW w:w="4320" w:type="dxa"/>
          </w:tcPr>
          <w:p w14:paraId="0910F731" w14:textId="77777777" w:rsidR="001A4EDA" w:rsidRDefault="00000000">
            <w:r>
              <w:rPr>
                <w:sz w:val="18"/>
              </w:rPr>
              <w:t>Sub-millisecond runtime security with cryptographic agent identity.</w:t>
            </w:r>
          </w:p>
        </w:tc>
        <w:tc>
          <w:tcPr>
            <w:tcW w:w="5040" w:type="dxa"/>
          </w:tcPr>
          <w:p w14:paraId="6AE7DB67" w14:textId="00914F58" w:rsidR="001A4EDA" w:rsidRDefault="00000000">
            <w:r>
              <w:rPr>
                <w:sz w:val="18"/>
              </w:rPr>
              <w:t xml:space="preserve">Every industry needs agent security. The policy configurations differ, but the </w:t>
            </w:r>
            <w:r w:rsidR="00430777">
              <w:rPr>
                <w:sz w:val="18"/>
              </w:rPr>
              <w:t>AGT</w:t>
            </w:r>
            <w:r>
              <w:rPr>
                <w:sz w:val="18"/>
              </w:rPr>
              <w:t xml:space="preserve"> integration pattern is identical.</w:t>
            </w:r>
          </w:p>
        </w:tc>
      </w:tr>
    </w:tbl>
    <w:p w14:paraId="2EBB4ACA" w14:textId="77777777" w:rsidR="001A4EDA" w:rsidRDefault="001A4EDA"/>
    <w:p w14:paraId="6230EC2A" w14:textId="77777777" w:rsidR="001A4EDA" w:rsidRDefault="00000000">
      <w:r>
        <w:br w:type="page"/>
      </w:r>
    </w:p>
    <w:p w14:paraId="09E0FDB9" w14:textId="77777777" w:rsidR="001A4EDA" w:rsidRDefault="00000000">
      <w:pPr>
        <w:pStyle w:val="Heading1"/>
      </w:pPr>
      <w:bookmarkStart w:id="33" w:name="_Toc227587154"/>
      <w:r>
        <w:lastRenderedPageBreak/>
        <w:t>Appendix A — Industry Standards Reference</w:t>
      </w:r>
      <w:bookmarkEnd w:id="33"/>
    </w:p>
    <w:p w14:paraId="17725C5B" w14:textId="77777777" w:rsidR="001A4EDA" w:rsidRDefault="00000000">
      <w:r>
        <w:t>The following reference tables provide complete citations for all standards referenced in this document. URLs are current as of April 2026. These tables are designed for direct consumption by AI systems building ADAM’s industry-specific agents.</w:t>
      </w:r>
    </w:p>
    <w:p w14:paraId="194DC0BD" w14:textId="77777777" w:rsidR="001A4EDA" w:rsidRDefault="00000000">
      <w:pPr>
        <w:pStyle w:val="Heading2"/>
      </w:pPr>
      <w:bookmarkStart w:id="34" w:name="_Toc227587155"/>
      <w:r>
        <w:t>A.1 Media Industry Standards</w:t>
      </w:r>
      <w:bookmarkEnd w:id="34"/>
    </w:p>
    <w:tbl>
      <w:tblPr>
        <w:tblStyle w:val="TableGrid"/>
        <w:tblW w:w="0" w:type="auto"/>
        <w:jc w:val="center"/>
        <w:tblLook w:val="04A0" w:firstRow="1" w:lastRow="0" w:firstColumn="1" w:lastColumn="0" w:noHBand="0" w:noVBand="1"/>
      </w:tblPr>
      <w:tblGrid>
        <w:gridCol w:w="1644"/>
        <w:gridCol w:w="1401"/>
        <w:gridCol w:w="1421"/>
        <w:gridCol w:w="4884"/>
      </w:tblGrid>
      <w:tr w:rsidR="001A4EDA" w14:paraId="1DBD6416" w14:textId="77777777">
        <w:trPr>
          <w:jc w:val="center"/>
        </w:trPr>
        <w:tc>
          <w:tcPr>
            <w:tcW w:w="2880" w:type="dxa"/>
            <w:shd w:val="clear" w:color="auto" w:fill="1F3A5F"/>
          </w:tcPr>
          <w:p w14:paraId="56E7D68B" w14:textId="77777777" w:rsidR="001A4EDA" w:rsidRDefault="00000000">
            <w:r>
              <w:rPr>
                <w:b/>
                <w:color w:val="FFFFFF"/>
                <w:sz w:val="20"/>
              </w:rPr>
              <w:t>Standard</w:t>
            </w:r>
          </w:p>
        </w:tc>
        <w:tc>
          <w:tcPr>
            <w:tcW w:w="1728" w:type="dxa"/>
            <w:shd w:val="clear" w:color="auto" w:fill="1F3A5F"/>
          </w:tcPr>
          <w:p w14:paraId="171E8211" w14:textId="77777777" w:rsidR="001A4EDA" w:rsidRDefault="00000000">
            <w:r>
              <w:rPr>
                <w:b/>
                <w:color w:val="FFFFFF"/>
                <w:sz w:val="20"/>
              </w:rPr>
              <w:t>Organization</w:t>
            </w:r>
          </w:p>
        </w:tc>
        <w:tc>
          <w:tcPr>
            <w:tcW w:w="2160" w:type="dxa"/>
            <w:shd w:val="clear" w:color="auto" w:fill="1F3A5F"/>
          </w:tcPr>
          <w:p w14:paraId="08708B6A" w14:textId="77777777" w:rsidR="001A4EDA" w:rsidRDefault="00000000">
            <w:r>
              <w:rPr>
                <w:b/>
                <w:color w:val="FFFFFF"/>
                <w:sz w:val="20"/>
              </w:rPr>
              <w:t>Current Version</w:t>
            </w:r>
          </w:p>
        </w:tc>
        <w:tc>
          <w:tcPr>
            <w:tcW w:w="5472" w:type="dxa"/>
            <w:shd w:val="clear" w:color="auto" w:fill="1F3A5F"/>
          </w:tcPr>
          <w:p w14:paraId="60A10EB0" w14:textId="77777777" w:rsidR="001A4EDA" w:rsidRDefault="00000000">
            <w:r>
              <w:rPr>
                <w:b/>
                <w:color w:val="FFFFFF"/>
                <w:sz w:val="20"/>
              </w:rPr>
              <w:t>URL</w:t>
            </w:r>
          </w:p>
        </w:tc>
      </w:tr>
      <w:tr w:rsidR="001A4EDA" w14:paraId="50B7C7E1" w14:textId="77777777">
        <w:trPr>
          <w:jc w:val="center"/>
        </w:trPr>
        <w:tc>
          <w:tcPr>
            <w:tcW w:w="2880" w:type="dxa"/>
          </w:tcPr>
          <w:p w14:paraId="05B553EC" w14:textId="77777777" w:rsidR="001A4EDA" w:rsidRDefault="00000000">
            <w:r>
              <w:rPr>
                <w:sz w:val="18"/>
              </w:rPr>
              <w:t>TM Forum ODA</w:t>
            </w:r>
          </w:p>
        </w:tc>
        <w:tc>
          <w:tcPr>
            <w:tcW w:w="1728" w:type="dxa"/>
          </w:tcPr>
          <w:p w14:paraId="1861337E" w14:textId="77777777" w:rsidR="001A4EDA" w:rsidRDefault="00000000">
            <w:r>
              <w:rPr>
                <w:sz w:val="18"/>
              </w:rPr>
              <w:t>TM Forum</w:t>
            </w:r>
          </w:p>
        </w:tc>
        <w:tc>
          <w:tcPr>
            <w:tcW w:w="2160" w:type="dxa"/>
          </w:tcPr>
          <w:p w14:paraId="6401296F" w14:textId="77777777" w:rsidR="001A4EDA" w:rsidRDefault="00000000">
            <w:r>
              <w:rPr>
                <w:sz w:val="18"/>
              </w:rPr>
              <w:t>MODA v25.5</w:t>
            </w:r>
          </w:p>
        </w:tc>
        <w:tc>
          <w:tcPr>
            <w:tcW w:w="5472" w:type="dxa"/>
          </w:tcPr>
          <w:p w14:paraId="1B9F7E2A" w14:textId="77777777" w:rsidR="001A4EDA" w:rsidRDefault="00000000">
            <w:r>
              <w:rPr>
                <w:sz w:val="18"/>
              </w:rPr>
              <w:t>https://www.tmforum.org/open-digital-architecture/</w:t>
            </w:r>
          </w:p>
        </w:tc>
      </w:tr>
      <w:tr w:rsidR="001A4EDA" w14:paraId="608BE0F0" w14:textId="77777777">
        <w:trPr>
          <w:jc w:val="center"/>
        </w:trPr>
        <w:tc>
          <w:tcPr>
            <w:tcW w:w="2880" w:type="dxa"/>
            <w:shd w:val="clear" w:color="auto" w:fill="F2F5F8"/>
          </w:tcPr>
          <w:p w14:paraId="357BEC8A" w14:textId="77777777" w:rsidR="001A4EDA" w:rsidRDefault="00000000">
            <w:r>
              <w:rPr>
                <w:sz w:val="18"/>
              </w:rPr>
              <w:t>TM Forum eTOM</w:t>
            </w:r>
          </w:p>
        </w:tc>
        <w:tc>
          <w:tcPr>
            <w:tcW w:w="1728" w:type="dxa"/>
            <w:shd w:val="clear" w:color="auto" w:fill="F2F5F8"/>
          </w:tcPr>
          <w:p w14:paraId="6E2E2FE3" w14:textId="77777777" w:rsidR="001A4EDA" w:rsidRDefault="00000000">
            <w:r>
              <w:rPr>
                <w:sz w:val="18"/>
              </w:rPr>
              <w:t>TM Forum</w:t>
            </w:r>
          </w:p>
        </w:tc>
        <w:tc>
          <w:tcPr>
            <w:tcW w:w="2160" w:type="dxa"/>
            <w:shd w:val="clear" w:color="auto" w:fill="F2F5F8"/>
          </w:tcPr>
          <w:p w14:paraId="7CF01BC9" w14:textId="77777777" w:rsidR="001A4EDA" w:rsidRDefault="00000000">
            <w:r>
              <w:rPr>
                <w:sz w:val="18"/>
              </w:rPr>
              <w:t>GB921 v25.0</w:t>
            </w:r>
          </w:p>
        </w:tc>
        <w:tc>
          <w:tcPr>
            <w:tcW w:w="5472" w:type="dxa"/>
            <w:shd w:val="clear" w:color="auto" w:fill="F2F5F8"/>
          </w:tcPr>
          <w:p w14:paraId="2266E5D5" w14:textId="77777777" w:rsidR="001A4EDA" w:rsidRDefault="00000000">
            <w:r>
              <w:rPr>
                <w:sz w:val="18"/>
              </w:rPr>
              <w:t>https://www.tmforum.org/open-digital-architecture/process-framework-etom/</w:t>
            </w:r>
          </w:p>
        </w:tc>
      </w:tr>
      <w:tr w:rsidR="001A4EDA" w14:paraId="36A71742" w14:textId="77777777">
        <w:trPr>
          <w:jc w:val="center"/>
        </w:trPr>
        <w:tc>
          <w:tcPr>
            <w:tcW w:w="2880" w:type="dxa"/>
          </w:tcPr>
          <w:p w14:paraId="714138BE" w14:textId="77777777" w:rsidR="001A4EDA" w:rsidRDefault="00000000">
            <w:r>
              <w:rPr>
                <w:sz w:val="18"/>
              </w:rPr>
              <w:t>TM Forum SID</w:t>
            </w:r>
          </w:p>
        </w:tc>
        <w:tc>
          <w:tcPr>
            <w:tcW w:w="1728" w:type="dxa"/>
          </w:tcPr>
          <w:p w14:paraId="6E2ABDE4" w14:textId="77777777" w:rsidR="001A4EDA" w:rsidRDefault="00000000">
            <w:r>
              <w:rPr>
                <w:sz w:val="18"/>
              </w:rPr>
              <w:t>TM Forum</w:t>
            </w:r>
          </w:p>
        </w:tc>
        <w:tc>
          <w:tcPr>
            <w:tcW w:w="2160" w:type="dxa"/>
          </w:tcPr>
          <w:p w14:paraId="78C3D12E" w14:textId="77777777" w:rsidR="001A4EDA" w:rsidRDefault="00000000">
            <w:r>
              <w:rPr>
                <w:sz w:val="18"/>
              </w:rPr>
              <w:t>GB922 R16.5.1</w:t>
            </w:r>
          </w:p>
        </w:tc>
        <w:tc>
          <w:tcPr>
            <w:tcW w:w="5472" w:type="dxa"/>
          </w:tcPr>
          <w:p w14:paraId="0B3CCD92" w14:textId="77777777" w:rsidR="001A4EDA" w:rsidRDefault="00000000">
            <w:r>
              <w:rPr>
                <w:sz w:val="18"/>
              </w:rPr>
              <w:t>https://www.tmforum.org/open-digital-architecture/information-framework-sid/</w:t>
            </w:r>
          </w:p>
        </w:tc>
      </w:tr>
      <w:tr w:rsidR="001A4EDA" w14:paraId="1B96620C" w14:textId="77777777">
        <w:trPr>
          <w:jc w:val="center"/>
        </w:trPr>
        <w:tc>
          <w:tcPr>
            <w:tcW w:w="2880" w:type="dxa"/>
            <w:shd w:val="clear" w:color="auto" w:fill="F2F5F8"/>
          </w:tcPr>
          <w:p w14:paraId="433401D0" w14:textId="77777777" w:rsidR="001A4EDA" w:rsidRDefault="00000000">
            <w:r>
              <w:rPr>
                <w:sz w:val="18"/>
              </w:rPr>
              <w:t>TMF921A Intent Management</w:t>
            </w:r>
          </w:p>
        </w:tc>
        <w:tc>
          <w:tcPr>
            <w:tcW w:w="1728" w:type="dxa"/>
            <w:shd w:val="clear" w:color="auto" w:fill="F2F5F8"/>
          </w:tcPr>
          <w:p w14:paraId="3D36634D" w14:textId="77777777" w:rsidR="001A4EDA" w:rsidRDefault="00000000">
            <w:r>
              <w:rPr>
                <w:sz w:val="18"/>
              </w:rPr>
              <w:t>TM Forum</w:t>
            </w:r>
          </w:p>
        </w:tc>
        <w:tc>
          <w:tcPr>
            <w:tcW w:w="2160" w:type="dxa"/>
            <w:shd w:val="clear" w:color="auto" w:fill="F2F5F8"/>
          </w:tcPr>
          <w:p w14:paraId="6A8C5989" w14:textId="77777777" w:rsidR="001A4EDA" w:rsidRDefault="00000000">
            <w:r>
              <w:rPr>
                <w:sz w:val="18"/>
              </w:rPr>
              <w:t>v1.1.0</w:t>
            </w:r>
          </w:p>
        </w:tc>
        <w:tc>
          <w:tcPr>
            <w:tcW w:w="5472" w:type="dxa"/>
            <w:shd w:val="clear" w:color="auto" w:fill="F2F5F8"/>
          </w:tcPr>
          <w:p w14:paraId="2553D16F" w14:textId="77777777" w:rsidR="001A4EDA" w:rsidRDefault="00000000">
            <w:r>
              <w:rPr>
                <w:sz w:val="18"/>
              </w:rPr>
              <w:t>https://www.tmforum.org/resources/specification/tmf921a-intent-management-api-profile-v1-1-0/</w:t>
            </w:r>
          </w:p>
        </w:tc>
      </w:tr>
      <w:tr w:rsidR="001A4EDA" w14:paraId="7FFC288E" w14:textId="77777777">
        <w:trPr>
          <w:jc w:val="center"/>
        </w:trPr>
        <w:tc>
          <w:tcPr>
            <w:tcW w:w="2880" w:type="dxa"/>
          </w:tcPr>
          <w:p w14:paraId="733C2E36" w14:textId="77777777" w:rsidR="001A4EDA" w:rsidRDefault="00000000">
            <w:r>
              <w:rPr>
                <w:sz w:val="18"/>
              </w:rPr>
              <w:t>NMOS IS-04 Discovery</w:t>
            </w:r>
          </w:p>
        </w:tc>
        <w:tc>
          <w:tcPr>
            <w:tcW w:w="1728" w:type="dxa"/>
          </w:tcPr>
          <w:p w14:paraId="66C5D53C" w14:textId="77777777" w:rsidR="001A4EDA" w:rsidRDefault="00000000">
            <w:r>
              <w:rPr>
                <w:sz w:val="18"/>
              </w:rPr>
              <w:t>AMWA</w:t>
            </w:r>
          </w:p>
        </w:tc>
        <w:tc>
          <w:tcPr>
            <w:tcW w:w="2160" w:type="dxa"/>
          </w:tcPr>
          <w:p w14:paraId="4E92564F" w14:textId="77777777" w:rsidR="001A4EDA" w:rsidRDefault="00000000">
            <w:r>
              <w:rPr>
                <w:sz w:val="18"/>
              </w:rPr>
              <w:t>v1.3.3 (Dec 2024)</w:t>
            </w:r>
          </w:p>
        </w:tc>
        <w:tc>
          <w:tcPr>
            <w:tcW w:w="5472" w:type="dxa"/>
          </w:tcPr>
          <w:p w14:paraId="5F05E3AC" w14:textId="77777777" w:rsidR="001A4EDA" w:rsidRDefault="00000000">
            <w:r>
              <w:rPr>
                <w:sz w:val="18"/>
              </w:rPr>
              <w:t>https://specs.amwa.tv/is-04/</w:t>
            </w:r>
          </w:p>
        </w:tc>
      </w:tr>
      <w:tr w:rsidR="001A4EDA" w14:paraId="74289D53" w14:textId="77777777">
        <w:trPr>
          <w:jc w:val="center"/>
        </w:trPr>
        <w:tc>
          <w:tcPr>
            <w:tcW w:w="2880" w:type="dxa"/>
            <w:shd w:val="clear" w:color="auto" w:fill="F2F5F8"/>
          </w:tcPr>
          <w:p w14:paraId="07ACBF15" w14:textId="77777777" w:rsidR="001A4EDA" w:rsidRDefault="00000000">
            <w:r>
              <w:rPr>
                <w:sz w:val="18"/>
              </w:rPr>
              <w:t>NMOS IS-05 Connection Mgmt</w:t>
            </w:r>
          </w:p>
        </w:tc>
        <w:tc>
          <w:tcPr>
            <w:tcW w:w="1728" w:type="dxa"/>
            <w:shd w:val="clear" w:color="auto" w:fill="F2F5F8"/>
          </w:tcPr>
          <w:p w14:paraId="092B46E6" w14:textId="77777777" w:rsidR="001A4EDA" w:rsidRDefault="00000000">
            <w:r>
              <w:rPr>
                <w:sz w:val="18"/>
              </w:rPr>
              <w:t>AMWA</w:t>
            </w:r>
          </w:p>
        </w:tc>
        <w:tc>
          <w:tcPr>
            <w:tcW w:w="2160" w:type="dxa"/>
            <w:shd w:val="clear" w:color="auto" w:fill="F2F5F8"/>
          </w:tcPr>
          <w:p w14:paraId="5C4B96DB" w14:textId="77777777" w:rsidR="001A4EDA" w:rsidRDefault="00000000">
            <w:r>
              <w:rPr>
                <w:sz w:val="18"/>
              </w:rPr>
              <w:t>v1.2.2 (Oct 2022)</w:t>
            </w:r>
          </w:p>
        </w:tc>
        <w:tc>
          <w:tcPr>
            <w:tcW w:w="5472" w:type="dxa"/>
            <w:shd w:val="clear" w:color="auto" w:fill="F2F5F8"/>
          </w:tcPr>
          <w:p w14:paraId="5AE73D54" w14:textId="77777777" w:rsidR="001A4EDA" w:rsidRDefault="00000000">
            <w:r>
              <w:rPr>
                <w:sz w:val="18"/>
              </w:rPr>
              <w:t>https://specs.amwa.tv/is-05/</w:t>
            </w:r>
          </w:p>
        </w:tc>
      </w:tr>
      <w:tr w:rsidR="001A4EDA" w14:paraId="0EE2EC80" w14:textId="77777777">
        <w:trPr>
          <w:jc w:val="center"/>
        </w:trPr>
        <w:tc>
          <w:tcPr>
            <w:tcW w:w="2880" w:type="dxa"/>
          </w:tcPr>
          <w:p w14:paraId="552862E0" w14:textId="77777777" w:rsidR="001A4EDA" w:rsidRDefault="00000000">
            <w:r>
              <w:rPr>
                <w:sz w:val="18"/>
              </w:rPr>
              <w:t>NMOS IS-11 Stream Compat</w:t>
            </w:r>
          </w:p>
        </w:tc>
        <w:tc>
          <w:tcPr>
            <w:tcW w:w="1728" w:type="dxa"/>
          </w:tcPr>
          <w:p w14:paraId="0966109B" w14:textId="77777777" w:rsidR="001A4EDA" w:rsidRDefault="00000000">
            <w:r>
              <w:rPr>
                <w:sz w:val="18"/>
              </w:rPr>
              <w:t>AMWA</w:t>
            </w:r>
          </w:p>
        </w:tc>
        <w:tc>
          <w:tcPr>
            <w:tcW w:w="2160" w:type="dxa"/>
          </w:tcPr>
          <w:p w14:paraId="2B97CCFF" w14:textId="77777777" w:rsidR="001A4EDA" w:rsidRDefault="00000000">
            <w:r>
              <w:rPr>
                <w:sz w:val="18"/>
              </w:rPr>
              <w:t>v1.1.x</w:t>
            </w:r>
          </w:p>
        </w:tc>
        <w:tc>
          <w:tcPr>
            <w:tcW w:w="5472" w:type="dxa"/>
          </w:tcPr>
          <w:p w14:paraId="79A01F6F" w14:textId="77777777" w:rsidR="001A4EDA" w:rsidRDefault="00000000">
            <w:r>
              <w:rPr>
                <w:sz w:val="18"/>
              </w:rPr>
              <w:t>https://specs.amwa.tv/is-11/</w:t>
            </w:r>
          </w:p>
        </w:tc>
      </w:tr>
      <w:tr w:rsidR="001A4EDA" w14:paraId="5BE4C527" w14:textId="77777777">
        <w:trPr>
          <w:jc w:val="center"/>
        </w:trPr>
        <w:tc>
          <w:tcPr>
            <w:tcW w:w="2880" w:type="dxa"/>
            <w:shd w:val="clear" w:color="auto" w:fill="F2F5F8"/>
          </w:tcPr>
          <w:p w14:paraId="329791B0" w14:textId="77777777" w:rsidR="001A4EDA" w:rsidRDefault="00000000">
            <w:r>
              <w:rPr>
                <w:sz w:val="18"/>
              </w:rPr>
              <w:t>SMPTE ST 2110</w:t>
            </w:r>
          </w:p>
        </w:tc>
        <w:tc>
          <w:tcPr>
            <w:tcW w:w="1728" w:type="dxa"/>
            <w:shd w:val="clear" w:color="auto" w:fill="F2F5F8"/>
          </w:tcPr>
          <w:p w14:paraId="7BBCE6B3" w14:textId="77777777" w:rsidR="001A4EDA" w:rsidRDefault="00000000">
            <w:r>
              <w:rPr>
                <w:sz w:val="18"/>
              </w:rPr>
              <w:t>SMPTE</w:t>
            </w:r>
          </w:p>
        </w:tc>
        <w:tc>
          <w:tcPr>
            <w:tcW w:w="2160" w:type="dxa"/>
            <w:shd w:val="clear" w:color="auto" w:fill="F2F5F8"/>
          </w:tcPr>
          <w:p w14:paraId="18EB5219" w14:textId="77777777" w:rsidR="001A4EDA" w:rsidRDefault="00000000">
            <w:r>
              <w:rPr>
                <w:sz w:val="18"/>
              </w:rPr>
              <w:t>2110-10/20/30/40</w:t>
            </w:r>
          </w:p>
        </w:tc>
        <w:tc>
          <w:tcPr>
            <w:tcW w:w="5472" w:type="dxa"/>
            <w:shd w:val="clear" w:color="auto" w:fill="F2F5F8"/>
          </w:tcPr>
          <w:p w14:paraId="16B9404F" w14:textId="77777777" w:rsidR="001A4EDA" w:rsidRDefault="00000000">
            <w:r>
              <w:rPr>
                <w:sz w:val="18"/>
              </w:rPr>
              <w:t>https://www.smpte.org/standards/st2110</w:t>
            </w:r>
          </w:p>
        </w:tc>
      </w:tr>
      <w:tr w:rsidR="001A4EDA" w14:paraId="36037DB7" w14:textId="77777777">
        <w:trPr>
          <w:jc w:val="center"/>
        </w:trPr>
        <w:tc>
          <w:tcPr>
            <w:tcW w:w="2880" w:type="dxa"/>
          </w:tcPr>
          <w:p w14:paraId="726C5AAE" w14:textId="77777777" w:rsidR="001A4EDA" w:rsidRDefault="00000000">
            <w:r>
              <w:rPr>
                <w:sz w:val="18"/>
              </w:rPr>
              <w:t>EBU DMF/MXL</w:t>
            </w:r>
          </w:p>
        </w:tc>
        <w:tc>
          <w:tcPr>
            <w:tcW w:w="1728" w:type="dxa"/>
          </w:tcPr>
          <w:p w14:paraId="41DFCC88" w14:textId="77777777" w:rsidR="001A4EDA" w:rsidRDefault="00000000">
            <w:r>
              <w:rPr>
                <w:sz w:val="18"/>
              </w:rPr>
              <w:t>EBU</w:t>
            </w:r>
          </w:p>
        </w:tc>
        <w:tc>
          <w:tcPr>
            <w:tcW w:w="2160" w:type="dxa"/>
          </w:tcPr>
          <w:p w14:paraId="41B6590B" w14:textId="77777777" w:rsidR="001A4EDA" w:rsidRDefault="00000000">
            <w:r>
              <w:rPr>
                <w:sz w:val="18"/>
              </w:rPr>
              <w:t>Alpha SDK (June 2025)</w:t>
            </w:r>
          </w:p>
        </w:tc>
        <w:tc>
          <w:tcPr>
            <w:tcW w:w="5472" w:type="dxa"/>
          </w:tcPr>
          <w:p w14:paraId="0B82DA75" w14:textId="77777777" w:rsidR="001A4EDA" w:rsidRDefault="00000000">
            <w:r>
              <w:rPr>
                <w:sz w:val="18"/>
              </w:rPr>
              <w:t>https://tech.ebu.ch/dmf/mxl</w:t>
            </w:r>
          </w:p>
        </w:tc>
      </w:tr>
      <w:tr w:rsidR="001A4EDA" w14:paraId="42C9FCBA" w14:textId="77777777">
        <w:trPr>
          <w:jc w:val="center"/>
        </w:trPr>
        <w:tc>
          <w:tcPr>
            <w:tcW w:w="2880" w:type="dxa"/>
            <w:shd w:val="clear" w:color="auto" w:fill="F2F5F8"/>
          </w:tcPr>
          <w:p w14:paraId="3EFAACB3" w14:textId="77777777" w:rsidR="001A4EDA" w:rsidRDefault="00000000">
            <w:r>
              <w:rPr>
                <w:sz w:val="18"/>
              </w:rPr>
              <w:t>C2PA</w:t>
            </w:r>
          </w:p>
        </w:tc>
        <w:tc>
          <w:tcPr>
            <w:tcW w:w="1728" w:type="dxa"/>
            <w:shd w:val="clear" w:color="auto" w:fill="F2F5F8"/>
          </w:tcPr>
          <w:p w14:paraId="31C012FD" w14:textId="77777777" w:rsidR="001A4EDA" w:rsidRDefault="00000000">
            <w:r>
              <w:rPr>
                <w:sz w:val="18"/>
              </w:rPr>
              <w:t>C2PA Coalition</w:t>
            </w:r>
          </w:p>
        </w:tc>
        <w:tc>
          <w:tcPr>
            <w:tcW w:w="2160" w:type="dxa"/>
            <w:shd w:val="clear" w:color="auto" w:fill="F2F5F8"/>
          </w:tcPr>
          <w:p w14:paraId="30A54416" w14:textId="77777777" w:rsidR="001A4EDA" w:rsidRDefault="00000000">
            <w:r>
              <w:rPr>
                <w:sz w:val="18"/>
              </w:rPr>
              <w:t>v2.x</w:t>
            </w:r>
          </w:p>
        </w:tc>
        <w:tc>
          <w:tcPr>
            <w:tcW w:w="5472" w:type="dxa"/>
            <w:shd w:val="clear" w:color="auto" w:fill="F2F5F8"/>
          </w:tcPr>
          <w:p w14:paraId="4F31C11B" w14:textId="77777777" w:rsidR="001A4EDA" w:rsidRDefault="00000000">
            <w:r>
              <w:rPr>
                <w:sz w:val="18"/>
              </w:rPr>
              <w:t>https://c2pa.org/</w:t>
            </w:r>
          </w:p>
        </w:tc>
      </w:tr>
    </w:tbl>
    <w:p w14:paraId="59F15631" w14:textId="77777777" w:rsidR="001A4EDA" w:rsidRDefault="001A4EDA"/>
    <w:p w14:paraId="1A8481DA" w14:textId="77777777" w:rsidR="001A4EDA" w:rsidRDefault="00000000">
      <w:pPr>
        <w:pStyle w:val="Heading2"/>
      </w:pPr>
      <w:bookmarkStart w:id="35" w:name="_Toc227587156"/>
      <w:r>
        <w:t>A.2 Healthcare &amp; Life Sciences Standards</w:t>
      </w:r>
      <w:bookmarkEnd w:id="35"/>
    </w:p>
    <w:tbl>
      <w:tblPr>
        <w:tblStyle w:val="TableGrid"/>
        <w:tblW w:w="0" w:type="auto"/>
        <w:jc w:val="center"/>
        <w:tblLook w:val="04A0" w:firstRow="1" w:lastRow="0" w:firstColumn="1" w:lastColumn="0" w:noHBand="0" w:noVBand="1"/>
      </w:tblPr>
      <w:tblGrid>
        <w:gridCol w:w="1801"/>
        <w:gridCol w:w="1477"/>
        <w:gridCol w:w="1761"/>
        <w:gridCol w:w="4311"/>
      </w:tblGrid>
      <w:tr w:rsidR="001A4EDA" w14:paraId="6A7D4218" w14:textId="77777777">
        <w:trPr>
          <w:jc w:val="center"/>
        </w:trPr>
        <w:tc>
          <w:tcPr>
            <w:tcW w:w="2880" w:type="dxa"/>
            <w:shd w:val="clear" w:color="auto" w:fill="1F3A5F"/>
          </w:tcPr>
          <w:p w14:paraId="687638D2" w14:textId="77777777" w:rsidR="001A4EDA" w:rsidRDefault="00000000">
            <w:r>
              <w:rPr>
                <w:b/>
                <w:color w:val="FFFFFF"/>
                <w:sz w:val="20"/>
              </w:rPr>
              <w:t>Standard</w:t>
            </w:r>
          </w:p>
        </w:tc>
        <w:tc>
          <w:tcPr>
            <w:tcW w:w="1728" w:type="dxa"/>
            <w:shd w:val="clear" w:color="auto" w:fill="1F3A5F"/>
          </w:tcPr>
          <w:p w14:paraId="1A6ECC13" w14:textId="77777777" w:rsidR="001A4EDA" w:rsidRDefault="00000000">
            <w:r>
              <w:rPr>
                <w:b/>
                <w:color w:val="FFFFFF"/>
                <w:sz w:val="20"/>
              </w:rPr>
              <w:t>Organization</w:t>
            </w:r>
          </w:p>
        </w:tc>
        <w:tc>
          <w:tcPr>
            <w:tcW w:w="2160" w:type="dxa"/>
            <w:shd w:val="clear" w:color="auto" w:fill="1F3A5F"/>
          </w:tcPr>
          <w:p w14:paraId="2797AB14" w14:textId="77777777" w:rsidR="001A4EDA" w:rsidRDefault="00000000">
            <w:r>
              <w:rPr>
                <w:b/>
                <w:color w:val="FFFFFF"/>
                <w:sz w:val="20"/>
              </w:rPr>
              <w:t>Current Version/Status</w:t>
            </w:r>
          </w:p>
        </w:tc>
        <w:tc>
          <w:tcPr>
            <w:tcW w:w="5472" w:type="dxa"/>
            <w:shd w:val="clear" w:color="auto" w:fill="1F3A5F"/>
          </w:tcPr>
          <w:p w14:paraId="008ADE42" w14:textId="77777777" w:rsidR="001A4EDA" w:rsidRDefault="00000000">
            <w:r>
              <w:rPr>
                <w:b/>
                <w:color w:val="FFFFFF"/>
                <w:sz w:val="20"/>
              </w:rPr>
              <w:t>URL</w:t>
            </w:r>
          </w:p>
        </w:tc>
      </w:tr>
      <w:tr w:rsidR="001A4EDA" w14:paraId="26A72C9F" w14:textId="77777777">
        <w:trPr>
          <w:jc w:val="center"/>
        </w:trPr>
        <w:tc>
          <w:tcPr>
            <w:tcW w:w="2880" w:type="dxa"/>
          </w:tcPr>
          <w:p w14:paraId="625D94CB" w14:textId="77777777" w:rsidR="001A4EDA" w:rsidRDefault="00000000">
            <w:r>
              <w:rPr>
                <w:sz w:val="18"/>
              </w:rPr>
              <w:t>HL7 FHIR</w:t>
            </w:r>
          </w:p>
        </w:tc>
        <w:tc>
          <w:tcPr>
            <w:tcW w:w="1728" w:type="dxa"/>
          </w:tcPr>
          <w:p w14:paraId="3B2221A3" w14:textId="77777777" w:rsidR="001A4EDA" w:rsidRDefault="00000000">
            <w:r>
              <w:rPr>
                <w:sz w:val="18"/>
              </w:rPr>
              <w:t>HL7 International</w:t>
            </w:r>
          </w:p>
        </w:tc>
        <w:tc>
          <w:tcPr>
            <w:tcW w:w="2160" w:type="dxa"/>
          </w:tcPr>
          <w:p w14:paraId="277147A7" w14:textId="77777777" w:rsidR="001A4EDA" w:rsidRDefault="00000000">
            <w:r>
              <w:rPr>
                <w:sz w:val="18"/>
              </w:rPr>
              <w:t>R5 (v5.0.0); R6 ballot 2026</w:t>
            </w:r>
          </w:p>
        </w:tc>
        <w:tc>
          <w:tcPr>
            <w:tcW w:w="5472" w:type="dxa"/>
          </w:tcPr>
          <w:p w14:paraId="3FD6988D" w14:textId="77777777" w:rsidR="001A4EDA" w:rsidRDefault="00000000">
            <w:r>
              <w:rPr>
                <w:sz w:val="18"/>
              </w:rPr>
              <w:t>https://hl7.org/fhir/</w:t>
            </w:r>
          </w:p>
        </w:tc>
      </w:tr>
      <w:tr w:rsidR="001A4EDA" w14:paraId="5074CAB3" w14:textId="77777777">
        <w:trPr>
          <w:jc w:val="center"/>
        </w:trPr>
        <w:tc>
          <w:tcPr>
            <w:tcW w:w="2880" w:type="dxa"/>
            <w:shd w:val="clear" w:color="auto" w:fill="F2F5F8"/>
          </w:tcPr>
          <w:p w14:paraId="7667899A" w14:textId="77777777" w:rsidR="001A4EDA" w:rsidRDefault="00000000">
            <w:r>
              <w:rPr>
                <w:sz w:val="18"/>
              </w:rPr>
              <w:t>HIPAA Security Rule</w:t>
            </w:r>
          </w:p>
        </w:tc>
        <w:tc>
          <w:tcPr>
            <w:tcW w:w="1728" w:type="dxa"/>
            <w:shd w:val="clear" w:color="auto" w:fill="F2F5F8"/>
          </w:tcPr>
          <w:p w14:paraId="7D16E1D6" w14:textId="77777777" w:rsidR="001A4EDA" w:rsidRDefault="00000000">
            <w:r>
              <w:rPr>
                <w:sz w:val="18"/>
              </w:rPr>
              <w:t>HHS</w:t>
            </w:r>
          </w:p>
        </w:tc>
        <w:tc>
          <w:tcPr>
            <w:tcW w:w="2160" w:type="dxa"/>
            <w:shd w:val="clear" w:color="auto" w:fill="F2F5F8"/>
          </w:tcPr>
          <w:p w14:paraId="71E2C98C" w14:textId="77777777" w:rsidR="001A4EDA" w:rsidRDefault="00000000">
            <w:r>
              <w:rPr>
                <w:sz w:val="18"/>
              </w:rPr>
              <w:t>2026 update (final mid-2026)</w:t>
            </w:r>
          </w:p>
        </w:tc>
        <w:tc>
          <w:tcPr>
            <w:tcW w:w="5472" w:type="dxa"/>
            <w:shd w:val="clear" w:color="auto" w:fill="F2F5F8"/>
          </w:tcPr>
          <w:p w14:paraId="245AF4F9" w14:textId="77777777" w:rsidR="001A4EDA" w:rsidRDefault="00000000">
            <w:r>
              <w:rPr>
                <w:sz w:val="18"/>
              </w:rPr>
              <w:t>https://www.hhs.gov/hipaa/for-professionals/security/</w:t>
            </w:r>
          </w:p>
        </w:tc>
      </w:tr>
      <w:tr w:rsidR="001A4EDA" w14:paraId="117A35DC" w14:textId="77777777">
        <w:trPr>
          <w:jc w:val="center"/>
        </w:trPr>
        <w:tc>
          <w:tcPr>
            <w:tcW w:w="2880" w:type="dxa"/>
          </w:tcPr>
          <w:p w14:paraId="2B91117E" w14:textId="77777777" w:rsidR="001A4EDA" w:rsidRDefault="00000000">
            <w:r>
              <w:rPr>
                <w:sz w:val="18"/>
              </w:rPr>
              <w:lastRenderedPageBreak/>
              <w:t>21 CFR Part 11</w:t>
            </w:r>
          </w:p>
        </w:tc>
        <w:tc>
          <w:tcPr>
            <w:tcW w:w="1728" w:type="dxa"/>
          </w:tcPr>
          <w:p w14:paraId="7758C7CA" w14:textId="77777777" w:rsidR="001A4EDA" w:rsidRDefault="00000000">
            <w:r>
              <w:rPr>
                <w:sz w:val="18"/>
              </w:rPr>
              <w:t>FDA</w:t>
            </w:r>
          </w:p>
        </w:tc>
        <w:tc>
          <w:tcPr>
            <w:tcW w:w="2160" w:type="dxa"/>
          </w:tcPr>
          <w:p w14:paraId="23F5995B" w14:textId="77777777" w:rsidR="001A4EDA" w:rsidRDefault="00000000">
            <w:r>
              <w:rPr>
                <w:sz w:val="18"/>
              </w:rPr>
              <w:t>Current</w:t>
            </w:r>
          </w:p>
        </w:tc>
        <w:tc>
          <w:tcPr>
            <w:tcW w:w="5472" w:type="dxa"/>
          </w:tcPr>
          <w:p w14:paraId="2008ED09" w14:textId="77777777" w:rsidR="001A4EDA" w:rsidRDefault="00000000">
            <w:r>
              <w:rPr>
                <w:sz w:val="18"/>
              </w:rPr>
              <w:t>https://www.ecfr.gov/current/title-21/chapter-I/subchapter-A/part-11</w:t>
            </w:r>
          </w:p>
        </w:tc>
      </w:tr>
      <w:tr w:rsidR="001A4EDA" w14:paraId="33DD5BDD" w14:textId="77777777">
        <w:trPr>
          <w:jc w:val="center"/>
        </w:trPr>
        <w:tc>
          <w:tcPr>
            <w:tcW w:w="2880" w:type="dxa"/>
            <w:shd w:val="clear" w:color="auto" w:fill="F2F5F8"/>
          </w:tcPr>
          <w:p w14:paraId="1870E642" w14:textId="77777777" w:rsidR="001A4EDA" w:rsidRDefault="00000000">
            <w:r>
              <w:rPr>
                <w:sz w:val="18"/>
              </w:rPr>
              <w:t>FDA AI/ML SaMD</w:t>
            </w:r>
          </w:p>
        </w:tc>
        <w:tc>
          <w:tcPr>
            <w:tcW w:w="1728" w:type="dxa"/>
            <w:shd w:val="clear" w:color="auto" w:fill="F2F5F8"/>
          </w:tcPr>
          <w:p w14:paraId="3E3E2155" w14:textId="77777777" w:rsidR="001A4EDA" w:rsidRDefault="00000000">
            <w:r>
              <w:rPr>
                <w:sz w:val="18"/>
              </w:rPr>
              <w:t>FDA</w:t>
            </w:r>
          </w:p>
        </w:tc>
        <w:tc>
          <w:tcPr>
            <w:tcW w:w="2160" w:type="dxa"/>
            <w:shd w:val="clear" w:color="auto" w:fill="F2F5F8"/>
          </w:tcPr>
          <w:p w14:paraId="70918BEC" w14:textId="77777777" w:rsidR="001A4EDA" w:rsidRDefault="00000000">
            <w:r>
              <w:rPr>
                <w:sz w:val="18"/>
              </w:rPr>
              <w:t>Jan 2026 draft guidance</w:t>
            </w:r>
          </w:p>
        </w:tc>
        <w:tc>
          <w:tcPr>
            <w:tcW w:w="5472" w:type="dxa"/>
            <w:shd w:val="clear" w:color="auto" w:fill="F2F5F8"/>
          </w:tcPr>
          <w:p w14:paraId="1AB1D8F8" w14:textId="77777777" w:rsidR="001A4EDA" w:rsidRDefault="00000000">
            <w:r>
              <w:rPr>
                <w:sz w:val="18"/>
              </w:rPr>
              <w:t>https://www.fda.gov/medical-devices/software-medical-device-samd/artificial-intelligence-software-medical-device</w:t>
            </w:r>
          </w:p>
        </w:tc>
      </w:tr>
      <w:tr w:rsidR="001A4EDA" w14:paraId="68E5594F" w14:textId="77777777">
        <w:trPr>
          <w:jc w:val="center"/>
        </w:trPr>
        <w:tc>
          <w:tcPr>
            <w:tcW w:w="2880" w:type="dxa"/>
          </w:tcPr>
          <w:p w14:paraId="4E1A08D9" w14:textId="77777777" w:rsidR="001A4EDA" w:rsidRDefault="00000000">
            <w:r>
              <w:rPr>
                <w:sz w:val="18"/>
              </w:rPr>
              <w:t>FDA PCCP</w:t>
            </w:r>
          </w:p>
        </w:tc>
        <w:tc>
          <w:tcPr>
            <w:tcW w:w="1728" w:type="dxa"/>
          </w:tcPr>
          <w:p w14:paraId="57D24552" w14:textId="77777777" w:rsidR="001A4EDA" w:rsidRDefault="00000000">
            <w:r>
              <w:rPr>
                <w:sz w:val="18"/>
              </w:rPr>
              <w:t>FDA</w:t>
            </w:r>
          </w:p>
        </w:tc>
        <w:tc>
          <w:tcPr>
            <w:tcW w:w="2160" w:type="dxa"/>
          </w:tcPr>
          <w:p w14:paraId="38BA487C" w14:textId="77777777" w:rsidR="001A4EDA" w:rsidRDefault="00000000">
            <w:r>
              <w:rPr>
                <w:sz w:val="18"/>
              </w:rPr>
              <w:t>Dec 2024 final guidance</w:t>
            </w:r>
          </w:p>
        </w:tc>
        <w:tc>
          <w:tcPr>
            <w:tcW w:w="5472" w:type="dxa"/>
          </w:tcPr>
          <w:p w14:paraId="5D7B93E3" w14:textId="77777777" w:rsidR="001A4EDA" w:rsidRDefault="00000000">
            <w:r>
              <w:rPr>
                <w:sz w:val="18"/>
              </w:rPr>
              <w:t>https://www.fda.gov/medical-devices/software-medical-device-samd/</w:t>
            </w:r>
          </w:p>
        </w:tc>
      </w:tr>
      <w:tr w:rsidR="001A4EDA" w14:paraId="442E2E3C" w14:textId="77777777">
        <w:trPr>
          <w:jc w:val="center"/>
        </w:trPr>
        <w:tc>
          <w:tcPr>
            <w:tcW w:w="2880" w:type="dxa"/>
            <w:shd w:val="clear" w:color="auto" w:fill="F2F5F8"/>
          </w:tcPr>
          <w:p w14:paraId="41A0107A" w14:textId="77777777" w:rsidR="001A4EDA" w:rsidRDefault="00000000">
            <w:r>
              <w:rPr>
                <w:sz w:val="18"/>
              </w:rPr>
              <w:t>HITRUST CSF</w:t>
            </w:r>
          </w:p>
        </w:tc>
        <w:tc>
          <w:tcPr>
            <w:tcW w:w="1728" w:type="dxa"/>
            <w:shd w:val="clear" w:color="auto" w:fill="F2F5F8"/>
          </w:tcPr>
          <w:p w14:paraId="34A4FDED" w14:textId="77777777" w:rsidR="001A4EDA" w:rsidRDefault="00000000">
            <w:r>
              <w:rPr>
                <w:sz w:val="18"/>
              </w:rPr>
              <w:t>HITRUST Alliance</w:t>
            </w:r>
          </w:p>
        </w:tc>
        <w:tc>
          <w:tcPr>
            <w:tcW w:w="2160" w:type="dxa"/>
            <w:shd w:val="clear" w:color="auto" w:fill="F2F5F8"/>
          </w:tcPr>
          <w:p w14:paraId="38AE2C43" w14:textId="77777777" w:rsidR="001A4EDA" w:rsidRDefault="00000000">
            <w:r>
              <w:rPr>
                <w:sz w:val="18"/>
              </w:rPr>
              <w:t>v11.x</w:t>
            </w:r>
          </w:p>
        </w:tc>
        <w:tc>
          <w:tcPr>
            <w:tcW w:w="5472" w:type="dxa"/>
            <w:shd w:val="clear" w:color="auto" w:fill="F2F5F8"/>
          </w:tcPr>
          <w:p w14:paraId="0CE4E4E7" w14:textId="77777777" w:rsidR="001A4EDA" w:rsidRDefault="00000000">
            <w:r>
              <w:rPr>
                <w:sz w:val="18"/>
              </w:rPr>
              <w:t>https://hitrustalliance.net/hitrust-framework</w:t>
            </w:r>
          </w:p>
        </w:tc>
      </w:tr>
      <w:tr w:rsidR="001A4EDA" w14:paraId="4E539678" w14:textId="77777777">
        <w:trPr>
          <w:jc w:val="center"/>
        </w:trPr>
        <w:tc>
          <w:tcPr>
            <w:tcW w:w="2880" w:type="dxa"/>
          </w:tcPr>
          <w:p w14:paraId="3AB0961A" w14:textId="77777777" w:rsidR="001A4EDA" w:rsidRDefault="00000000">
            <w:r>
              <w:rPr>
                <w:sz w:val="18"/>
              </w:rPr>
              <w:t>ISO/IEC 42001</w:t>
            </w:r>
          </w:p>
        </w:tc>
        <w:tc>
          <w:tcPr>
            <w:tcW w:w="1728" w:type="dxa"/>
          </w:tcPr>
          <w:p w14:paraId="237B4946" w14:textId="77777777" w:rsidR="001A4EDA" w:rsidRDefault="00000000">
            <w:r>
              <w:rPr>
                <w:sz w:val="18"/>
              </w:rPr>
              <w:t>ISO</w:t>
            </w:r>
          </w:p>
        </w:tc>
        <w:tc>
          <w:tcPr>
            <w:tcW w:w="2160" w:type="dxa"/>
          </w:tcPr>
          <w:p w14:paraId="4BB6D680" w14:textId="77777777" w:rsidR="001A4EDA" w:rsidRDefault="00000000">
            <w:r>
              <w:rPr>
                <w:sz w:val="18"/>
              </w:rPr>
              <w:t>2023</w:t>
            </w:r>
          </w:p>
        </w:tc>
        <w:tc>
          <w:tcPr>
            <w:tcW w:w="5472" w:type="dxa"/>
          </w:tcPr>
          <w:p w14:paraId="404FBEB2" w14:textId="77777777" w:rsidR="001A4EDA" w:rsidRDefault="00000000">
            <w:r>
              <w:rPr>
                <w:sz w:val="18"/>
              </w:rPr>
              <w:t>https://www.iso.org/standard/81230.html</w:t>
            </w:r>
          </w:p>
        </w:tc>
      </w:tr>
      <w:tr w:rsidR="001A4EDA" w14:paraId="763F5AC4" w14:textId="77777777">
        <w:trPr>
          <w:jc w:val="center"/>
        </w:trPr>
        <w:tc>
          <w:tcPr>
            <w:tcW w:w="2880" w:type="dxa"/>
            <w:shd w:val="clear" w:color="auto" w:fill="F2F5F8"/>
          </w:tcPr>
          <w:p w14:paraId="77C05155" w14:textId="77777777" w:rsidR="001A4EDA" w:rsidRDefault="00000000">
            <w:r>
              <w:rPr>
                <w:sz w:val="18"/>
              </w:rPr>
              <w:t>NIST SP 800-207</w:t>
            </w:r>
          </w:p>
        </w:tc>
        <w:tc>
          <w:tcPr>
            <w:tcW w:w="1728" w:type="dxa"/>
            <w:shd w:val="clear" w:color="auto" w:fill="F2F5F8"/>
          </w:tcPr>
          <w:p w14:paraId="27FD1E9E" w14:textId="77777777" w:rsidR="001A4EDA" w:rsidRDefault="00000000">
            <w:r>
              <w:rPr>
                <w:sz w:val="18"/>
              </w:rPr>
              <w:t>NIST</w:t>
            </w:r>
          </w:p>
        </w:tc>
        <w:tc>
          <w:tcPr>
            <w:tcW w:w="2160" w:type="dxa"/>
            <w:shd w:val="clear" w:color="auto" w:fill="F2F5F8"/>
          </w:tcPr>
          <w:p w14:paraId="348C6D3D" w14:textId="77777777" w:rsidR="001A4EDA" w:rsidRDefault="00000000">
            <w:r>
              <w:rPr>
                <w:sz w:val="18"/>
              </w:rPr>
              <w:t>Final (Aug 2020)</w:t>
            </w:r>
          </w:p>
        </w:tc>
        <w:tc>
          <w:tcPr>
            <w:tcW w:w="5472" w:type="dxa"/>
            <w:shd w:val="clear" w:color="auto" w:fill="F2F5F8"/>
          </w:tcPr>
          <w:p w14:paraId="0A478ED6" w14:textId="77777777" w:rsidR="001A4EDA" w:rsidRDefault="00000000">
            <w:r>
              <w:rPr>
                <w:sz w:val="18"/>
              </w:rPr>
              <w:t>https://csrc.nist.gov/pubs/sp/800/207/final</w:t>
            </w:r>
          </w:p>
        </w:tc>
      </w:tr>
      <w:tr w:rsidR="001A4EDA" w14:paraId="50F1604D" w14:textId="77777777">
        <w:trPr>
          <w:jc w:val="center"/>
        </w:trPr>
        <w:tc>
          <w:tcPr>
            <w:tcW w:w="2880" w:type="dxa"/>
          </w:tcPr>
          <w:p w14:paraId="778A05CA" w14:textId="77777777" w:rsidR="001A4EDA" w:rsidRDefault="00000000">
            <w:r>
              <w:rPr>
                <w:sz w:val="18"/>
              </w:rPr>
              <w:t>NIST FIPS 203 (ML-KEM)</w:t>
            </w:r>
          </w:p>
        </w:tc>
        <w:tc>
          <w:tcPr>
            <w:tcW w:w="1728" w:type="dxa"/>
          </w:tcPr>
          <w:p w14:paraId="050D0881" w14:textId="77777777" w:rsidR="001A4EDA" w:rsidRDefault="00000000">
            <w:r>
              <w:rPr>
                <w:sz w:val="18"/>
              </w:rPr>
              <w:t>NIST</w:t>
            </w:r>
          </w:p>
        </w:tc>
        <w:tc>
          <w:tcPr>
            <w:tcW w:w="2160" w:type="dxa"/>
          </w:tcPr>
          <w:p w14:paraId="600BE28D" w14:textId="77777777" w:rsidR="001A4EDA" w:rsidRDefault="00000000">
            <w:r>
              <w:rPr>
                <w:sz w:val="18"/>
              </w:rPr>
              <w:t>Final (Aug 2024)</w:t>
            </w:r>
          </w:p>
        </w:tc>
        <w:tc>
          <w:tcPr>
            <w:tcW w:w="5472" w:type="dxa"/>
          </w:tcPr>
          <w:p w14:paraId="42FF2313" w14:textId="77777777" w:rsidR="001A4EDA" w:rsidRDefault="00000000">
            <w:r>
              <w:rPr>
                <w:sz w:val="18"/>
              </w:rPr>
              <w:t>https://csrc.nist.gov/projects/post-quantum-cryptography</w:t>
            </w:r>
          </w:p>
        </w:tc>
      </w:tr>
      <w:tr w:rsidR="001A4EDA" w14:paraId="11573383" w14:textId="77777777">
        <w:trPr>
          <w:jc w:val="center"/>
        </w:trPr>
        <w:tc>
          <w:tcPr>
            <w:tcW w:w="2880" w:type="dxa"/>
            <w:shd w:val="clear" w:color="auto" w:fill="F2F5F8"/>
          </w:tcPr>
          <w:p w14:paraId="57083FFD" w14:textId="77777777" w:rsidR="001A4EDA" w:rsidRDefault="00000000">
            <w:r>
              <w:rPr>
                <w:sz w:val="18"/>
              </w:rPr>
              <w:t>NIST FIPS 204 (ML-DSA)</w:t>
            </w:r>
          </w:p>
        </w:tc>
        <w:tc>
          <w:tcPr>
            <w:tcW w:w="1728" w:type="dxa"/>
            <w:shd w:val="clear" w:color="auto" w:fill="F2F5F8"/>
          </w:tcPr>
          <w:p w14:paraId="728BBAD4" w14:textId="77777777" w:rsidR="001A4EDA" w:rsidRDefault="00000000">
            <w:r>
              <w:rPr>
                <w:sz w:val="18"/>
              </w:rPr>
              <w:t>NIST</w:t>
            </w:r>
          </w:p>
        </w:tc>
        <w:tc>
          <w:tcPr>
            <w:tcW w:w="2160" w:type="dxa"/>
            <w:shd w:val="clear" w:color="auto" w:fill="F2F5F8"/>
          </w:tcPr>
          <w:p w14:paraId="758B42C2" w14:textId="77777777" w:rsidR="001A4EDA" w:rsidRDefault="00000000">
            <w:r>
              <w:rPr>
                <w:sz w:val="18"/>
              </w:rPr>
              <w:t>Final (Aug 2024)</w:t>
            </w:r>
          </w:p>
        </w:tc>
        <w:tc>
          <w:tcPr>
            <w:tcW w:w="5472" w:type="dxa"/>
            <w:shd w:val="clear" w:color="auto" w:fill="F2F5F8"/>
          </w:tcPr>
          <w:p w14:paraId="7A8D1478" w14:textId="77777777" w:rsidR="001A4EDA" w:rsidRDefault="00000000">
            <w:r>
              <w:rPr>
                <w:sz w:val="18"/>
              </w:rPr>
              <w:t>https://csrc.nist.gov/projects/post-quantum-cryptography</w:t>
            </w:r>
          </w:p>
        </w:tc>
      </w:tr>
      <w:tr w:rsidR="001A4EDA" w14:paraId="4BC1CF94" w14:textId="77777777">
        <w:trPr>
          <w:jc w:val="center"/>
        </w:trPr>
        <w:tc>
          <w:tcPr>
            <w:tcW w:w="2880" w:type="dxa"/>
          </w:tcPr>
          <w:p w14:paraId="595FDC10" w14:textId="77777777" w:rsidR="001A4EDA" w:rsidRDefault="00000000">
            <w:r>
              <w:rPr>
                <w:sz w:val="18"/>
              </w:rPr>
              <w:t>NIST FIPS 205 (SLH-DSA)</w:t>
            </w:r>
          </w:p>
        </w:tc>
        <w:tc>
          <w:tcPr>
            <w:tcW w:w="1728" w:type="dxa"/>
          </w:tcPr>
          <w:p w14:paraId="4D8A49D9" w14:textId="77777777" w:rsidR="001A4EDA" w:rsidRDefault="00000000">
            <w:r>
              <w:rPr>
                <w:sz w:val="18"/>
              </w:rPr>
              <w:t>NIST</w:t>
            </w:r>
          </w:p>
        </w:tc>
        <w:tc>
          <w:tcPr>
            <w:tcW w:w="2160" w:type="dxa"/>
          </w:tcPr>
          <w:p w14:paraId="4D3FE339" w14:textId="77777777" w:rsidR="001A4EDA" w:rsidRDefault="00000000">
            <w:r>
              <w:rPr>
                <w:sz w:val="18"/>
              </w:rPr>
              <w:t>Final (Aug 2024)</w:t>
            </w:r>
          </w:p>
        </w:tc>
        <w:tc>
          <w:tcPr>
            <w:tcW w:w="5472" w:type="dxa"/>
          </w:tcPr>
          <w:p w14:paraId="26FCCFEF" w14:textId="77777777" w:rsidR="001A4EDA" w:rsidRDefault="00000000">
            <w:r>
              <w:rPr>
                <w:sz w:val="18"/>
              </w:rPr>
              <w:t>https://csrc.nist.gov/projects/post-quantum-cryptography</w:t>
            </w:r>
          </w:p>
        </w:tc>
      </w:tr>
      <w:tr w:rsidR="001A4EDA" w14:paraId="0711E0FB" w14:textId="77777777">
        <w:trPr>
          <w:jc w:val="center"/>
        </w:trPr>
        <w:tc>
          <w:tcPr>
            <w:tcW w:w="2880" w:type="dxa"/>
            <w:shd w:val="clear" w:color="auto" w:fill="F2F5F8"/>
          </w:tcPr>
          <w:p w14:paraId="65452CBE" w14:textId="77777777" w:rsidR="001A4EDA" w:rsidRDefault="00000000">
            <w:r>
              <w:rPr>
                <w:sz w:val="18"/>
              </w:rPr>
              <w:t>EU AI Act (High-Risk)</w:t>
            </w:r>
          </w:p>
        </w:tc>
        <w:tc>
          <w:tcPr>
            <w:tcW w:w="1728" w:type="dxa"/>
            <w:shd w:val="clear" w:color="auto" w:fill="F2F5F8"/>
          </w:tcPr>
          <w:p w14:paraId="29D255E8" w14:textId="77777777" w:rsidR="001A4EDA" w:rsidRDefault="00000000">
            <w:r>
              <w:rPr>
                <w:sz w:val="18"/>
              </w:rPr>
              <w:t>EU</w:t>
            </w:r>
          </w:p>
        </w:tc>
        <w:tc>
          <w:tcPr>
            <w:tcW w:w="2160" w:type="dxa"/>
            <w:shd w:val="clear" w:color="auto" w:fill="F2F5F8"/>
          </w:tcPr>
          <w:p w14:paraId="053679CE" w14:textId="77777777" w:rsidR="001A4EDA" w:rsidRDefault="00000000">
            <w:r>
              <w:rPr>
                <w:sz w:val="18"/>
              </w:rPr>
              <w:t>Aug 2, 2026 enforcement</w:t>
            </w:r>
          </w:p>
        </w:tc>
        <w:tc>
          <w:tcPr>
            <w:tcW w:w="5472" w:type="dxa"/>
            <w:shd w:val="clear" w:color="auto" w:fill="F2F5F8"/>
          </w:tcPr>
          <w:p w14:paraId="15EB831E" w14:textId="77777777" w:rsidR="001A4EDA" w:rsidRDefault="00000000">
            <w:r>
              <w:rPr>
                <w:sz w:val="18"/>
              </w:rPr>
              <w:t>https://artificialintelligenceact.eu/</w:t>
            </w:r>
          </w:p>
        </w:tc>
      </w:tr>
    </w:tbl>
    <w:p w14:paraId="53F0B0CF" w14:textId="77777777" w:rsidR="001A4EDA" w:rsidRDefault="001A4EDA"/>
    <w:p w14:paraId="53BBD4CF" w14:textId="77777777" w:rsidR="001A4EDA" w:rsidRDefault="00000000">
      <w:pPr>
        <w:pStyle w:val="Heading2"/>
      </w:pPr>
      <w:bookmarkStart w:id="36" w:name="_Toc227587157"/>
      <w:r>
        <w:t>A.3 Manufacturing Standards</w:t>
      </w:r>
      <w:bookmarkEnd w:id="36"/>
    </w:p>
    <w:tbl>
      <w:tblPr>
        <w:tblStyle w:val="TableGrid"/>
        <w:tblW w:w="0" w:type="auto"/>
        <w:jc w:val="center"/>
        <w:tblLook w:val="04A0" w:firstRow="1" w:lastRow="0" w:firstColumn="1" w:lastColumn="0" w:noHBand="0" w:noVBand="1"/>
      </w:tblPr>
      <w:tblGrid>
        <w:gridCol w:w="1673"/>
        <w:gridCol w:w="1438"/>
        <w:gridCol w:w="1459"/>
        <w:gridCol w:w="4780"/>
      </w:tblGrid>
      <w:tr w:rsidR="001A4EDA" w14:paraId="57D4190F" w14:textId="77777777">
        <w:trPr>
          <w:jc w:val="center"/>
        </w:trPr>
        <w:tc>
          <w:tcPr>
            <w:tcW w:w="2880" w:type="dxa"/>
            <w:shd w:val="clear" w:color="auto" w:fill="1F3A5F"/>
          </w:tcPr>
          <w:p w14:paraId="67DFDA58" w14:textId="77777777" w:rsidR="001A4EDA" w:rsidRDefault="00000000">
            <w:r>
              <w:rPr>
                <w:b/>
                <w:color w:val="FFFFFF"/>
                <w:sz w:val="20"/>
              </w:rPr>
              <w:t>Standard</w:t>
            </w:r>
          </w:p>
        </w:tc>
        <w:tc>
          <w:tcPr>
            <w:tcW w:w="1728" w:type="dxa"/>
            <w:shd w:val="clear" w:color="auto" w:fill="1F3A5F"/>
          </w:tcPr>
          <w:p w14:paraId="11C8574F" w14:textId="77777777" w:rsidR="001A4EDA" w:rsidRDefault="00000000">
            <w:r>
              <w:rPr>
                <w:b/>
                <w:color w:val="FFFFFF"/>
                <w:sz w:val="20"/>
              </w:rPr>
              <w:t>Organization</w:t>
            </w:r>
          </w:p>
        </w:tc>
        <w:tc>
          <w:tcPr>
            <w:tcW w:w="2160" w:type="dxa"/>
            <w:shd w:val="clear" w:color="auto" w:fill="1F3A5F"/>
          </w:tcPr>
          <w:p w14:paraId="4DCA3668" w14:textId="77777777" w:rsidR="001A4EDA" w:rsidRDefault="00000000">
            <w:r>
              <w:rPr>
                <w:b/>
                <w:color w:val="FFFFFF"/>
                <w:sz w:val="20"/>
              </w:rPr>
              <w:t>Current Version</w:t>
            </w:r>
          </w:p>
        </w:tc>
        <w:tc>
          <w:tcPr>
            <w:tcW w:w="5472" w:type="dxa"/>
            <w:shd w:val="clear" w:color="auto" w:fill="1F3A5F"/>
          </w:tcPr>
          <w:p w14:paraId="61962346" w14:textId="77777777" w:rsidR="001A4EDA" w:rsidRDefault="00000000">
            <w:r>
              <w:rPr>
                <w:b/>
                <w:color w:val="FFFFFF"/>
                <w:sz w:val="20"/>
              </w:rPr>
              <w:t>URL</w:t>
            </w:r>
          </w:p>
        </w:tc>
      </w:tr>
      <w:tr w:rsidR="001A4EDA" w14:paraId="46D9E34D" w14:textId="77777777">
        <w:trPr>
          <w:jc w:val="center"/>
        </w:trPr>
        <w:tc>
          <w:tcPr>
            <w:tcW w:w="2880" w:type="dxa"/>
          </w:tcPr>
          <w:p w14:paraId="7ED22C1D" w14:textId="77777777" w:rsidR="001A4EDA" w:rsidRDefault="00000000">
            <w:r>
              <w:rPr>
                <w:sz w:val="18"/>
              </w:rPr>
              <w:t>ISA-95 / IEC 62264</w:t>
            </w:r>
          </w:p>
        </w:tc>
        <w:tc>
          <w:tcPr>
            <w:tcW w:w="1728" w:type="dxa"/>
          </w:tcPr>
          <w:p w14:paraId="5FF3424E" w14:textId="77777777" w:rsidR="001A4EDA" w:rsidRDefault="00000000">
            <w:r>
              <w:rPr>
                <w:sz w:val="18"/>
              </w:rPr>
              <w:t>ISA/IEC</w:t>
            </w:r>
          </w:p>
        </w:tc>
        <w:tc>
          <w:tcPr>
            <w:tcW w:w="2160" w:type="dxa"/>
          </w:tcPr>
          <w:p w14:paraId="12438839" w14:textId="77777777" w:rsidR="001A4EDA" w:rsidRDefault="00000000">
            <w:r>
              <w:rPr>
                <w:sz w:val="18"/>
              </w:rPr>
              <w:t>IEC 62264 (2010)</w:t>
            </w:r>
          </w:p>
        </w:tc>
        <w:tc>
          <w:tcPr>
            <w:tcW w:w="5472" w:type="dxa"/>
          </w:tcPr>
          <w:p w14:paraId="43CDBD09" w14:textId="77777777" w:rsidR="001A4EDA" w:rsidRDefault="00000000">
            <w:r>
              <w:rPr>
                <w:sz w:val="18"/>
              </w:rPr>
              <w:t>https://www.isa.org/standards-and-publications/isa-standards/isa-95-standard</w:t>
            </w:r>
          </w:p>
        </w:tc>
      </w:tr>
      <w:tr w:rsidR="001A4EDA" w14:paraId="501261F2" w14:textId="77777777">
        <w:trPr>
          <w:jc w:val="center"/>
        </w:trPr>
        <w:tc>
          <w:tcPr>
            <w:tcW w:w="2880" w:type="dxa"/>
            <w:shd w:val="clear" w:color="auto" w:fill="F2F5F8"/>
          </w:tcPr>
          <w:p w14:paraId="2FF1E36E" w14:textId="77777777" w:rsidR="001A4EDA" w:rsidRDefault="00000000">
            <w:r>
              <w:rPr>
                <w:sz w:val="18"/>
              </w:rPr>
              <w:t>ISA-88 / IEC 61512</w:t>
            </w:r>
          </w:p>
        </w:tc>
        <w:tc>
          <w:tcPr>
            <w:tcW w:w="1728" w:type="dxa"/>
            <w:shd w:val="clear" w:color="auto" w:fill="F2F5F8"/>
          </w:tcPr>
          <w:p w14:paraId="6DAEC05C" w14:textId="77777777" w:rsidR="001A4EDA" w:rsidRDefault="00000000">
            <w:r>
              <w:rPr>
                <w:sz w:val="18"/>
              </w:rPr>
              <w:t>ISA/IEC</w:t>
            </w:r>
          </w:p>
        </w:tc>
        <w:tc>
          <w:tcPr>
            <w:tcW w:w="2160" w:type="dxa"/>
            <w:shd w:val="clear" w:color="auto" w:fill="F2F5F8"/>
          </w:tcPr>
          <w:p w14:paraId="64167B9C" w14:textId="77777777" w:rsidR="001A4EDA" w:rsidRDefault="00000000">
            <w:r>
              <w:rPr>
                <w:sz w:val="18"/>
              </w:rPr>
              <w:t>IEC 61512 (2010)</w:t>
            </w:r>
          </w:p>
        </w:tc>
        <w:tc>
          <w:tcPr>
            <w:tcW w:w="5472" w:type="dxa"/>
            <w:shd w:val="clear" w:color="auto" w:fill="F2F5F8"/>
          </w:tcPr>
          <w:p w14:paraId="4D9108FB" w14:textId="77777777" w:rsidR="001A4EDA" w:rsidRDefault="00000000">
            <w:r>
              <w:rPr>
                <w:sz w:val="18"/>
              </w:rPr>
              <w:t>https://www.isa.org/standards-and-publications/isa-standards/isa-88-standards</w:t>
            </w:r>
          </w:p>
        </w:tc>
      </w:tr>
      <w:tr w:rsidR="001A4EDA" w14:paraId="1FCE86EA" w14:textId="77777777">
        <w:trPr>
          <w:jc w:val="center"/>
        </w:trPr>
        <w:tc>
          <w:tcPr>
            <w:tcW w:w="2880" w:type="dxa"/>
          </w:tcPr>
          <w:p w14:paraId="6C4455CE" w14:textId="77777777" w:rsidR="001A4EDA" w:rsidRDefault="00000000">
            <w:r>
              <w:rPr>
                <w:sz w:val="18"/>
              </w:rPr>
              <w:t>OPC UA / IEC 62541</w:t>
            </w:r>
          </w:p>
        </w:tc>
        <w:tc>
          <w:tcPr>
            <w:tcW w:w="1728" w:type="dxa"/>
          </w:tcPr>
          <w:p w14:paraId="149CB853" w14:textId="77777777" w:rsidR="001A4EDA" w:rsidRDefault="00000000">
            <w:r>
              <w:rPr>
                <w:sz w:val="18"/>
              </w:rPr>
              <w:t>OPC Foundation/IEC</w:t>
            </w:r>
          </w:p>
        </w:tc>
        <w:tc>
          <w:tcPr>
            <w:tcW w:w="2160" w:type="dxa"/>
          </w:tcPr>
          <w:p w14:paraId="5B57FEA0" w14:textId="77777777" w:rsidR="001A4EDA" w:rsidRDefault="00000000">
            <w:r>
              <w:rPr>
                <w:sz w:val="18"/>
              </w:rPr>
              <w:t>IEC 62541 (2011+)</w:t>
            </w:r>
          </w:p>
        </w:tc>
        <w:tc>
          <w:tcPr>
            <w:tcW w:w="5472" w:type="dxa"/>
          </w:tcPr>
          <w:p w14:paraId="59D01BFC" w14:textId="77777777" w:rsidR="001A4EDA" w:rsidRDefault="00000000">
            <w:r>
              <w:rPr>
                <w:sz w:val="18"/>
              </w:rPr>
              <w:t>https://opcfoundation.org/about/opc-technologies/opc-ua/</w:t>
            </w:r>
          </w:p>
        </w:tc>
      </w:tr>
      <w:tr w:rsidR="001A4EDA" w14:paraId="52C74547" w14:textId="77777777">
        <w:trPr>
          <w:jc w:val="center"/>
        </w:trPr>
        <w:tc>
          <w:tcPr>
            <w:tcW w:w="2880" w:type="dxa"/>
            <w:shd w:val="clear" w:color="auto" w:fill="F2F5F8"/>
          </w:tcPr>
          <w:p w14:paraId="511A75DB" w14:textId="77777777" w:rsidR="001A4EDA" w:rsidRDefault="00000000">
            <w:r>
              <w:rPr>
                <w:sz w:val="18"/>
              </w:rPr>
              <w:t>IEC 62443</w:t>
            </w:r>
          </w:p>
        </w:tc>
        <w:tc>
          <w:tcPr>
            <w:tcW w:w="1728" w:type="dxa"/>
            <w:shd w:val="clear" w:color="auto" w:fill="F2F5F8"/>
          </w:tcPr>
          <w:p w14:paraId="7F282AE5" w14:textId="77777777" w:rsidR="001A4EDA" w:rsidRDefault="00000000">
            <w:r>
              <w:rPr>
                <w:sz w:val="18"/>
              </w:rPr>
              <w:t>IEC</w:t>
            </w:r>
          </w:p>
        </w:tc>
        <w:tc>
          <w:tcPr>
            <w:tcW w:w="2160" w:type="dxa"/>
            <w:shd w:val="clear" w:color="auto" w:fill="F2F5F8"/>
          </w:tcPr>
          <w:p w14:paraId="43029950" w14:textId="77777777" w:rsidR="001A4EDA" w:rsidRDefault="00000000">
            <w:r>
              <w:rPr>
                <w:sz w:val="18"/>
              </w:rPr>
              <w:t>Series (2009–2024)</w:t>
            </w:r>
          </w:p>
        </w:tc>
        <w:tc>
          <w:tcPr>
            <w:tcW w:w="5472" w:type="dxa"/>
            <w:shd w:val="clear" w:color="auto" w:fill="F2F5F8"/>
          </w:tcPr>
          <w:p w14:paraId="55C0714C" w14:textId="77777777" w:rsidR="001A4EDA" w:rsidRDefault="00000000">
            <w:r>
              <w:rPr>
                <w:sz w:val="18"/>
              </w:rPr>
              <w:t>https://www.isa.org/standards-and-publications/isa-standards/isa-iec-62443-series-of-standards</w:t>
            </w:r>
          </w:p>
        </w:tc>
      </w:tr>
      <w:tr w:rsidR="001A4EDA" w14:paraId="24224CED" w14:textId="77777777">
        <w:trPr>
          <w:jc w:val="center"/>
        </w:trPr>
        <w:tc>
          <w:tcPr>
            <w:tcW w:w="2880" w:type="dxa"/>
          </w:tcPr>
          <w:p w14:paraId="41B9985F" w14:textId="77777777" w:rsidR="001A4EDA" w:rsidRDefault="00000000">
            <w:r>
              <w:rPr>
                <w:sz w:val="18"/>
              </w:rPr>
              <w:t>ISO 23247</w:t>
            </w:r>
          </w:p>
        </w:tc>
        <w:tc>
          <w:tcPr>
            <w:tcW w:w="1728" w:type="dxa"/>
          </w:tcPr>
          <w:p w14:paraId="08175DB7" w14:textId="77777777" w:rsidR="001A4EDA" w:rsidRDefault="00000000">
            <w:r>
              <w:rPr>
                <w:sz w:val="18"/>
              </w:rPr>
              <w:t>ISO</w:t>
            </w:r>
          </w:p>
        </w:tc>
        <w:tc>
          <w:tcPr>
            <w:tcW w:w="2160" w:type="dxa"/>
          </w:tcPr>
          <w:p w14:paraId="0372E9DC" w14:textId="77777777" w:rsidR="001A4EDA" w:rsidRDefault="00000000">
            <w:r>
              <w:rPr>
                <w:sz w:val="18"/>
              </w:rPr>
              <w:t>23247-1 through -4 (2021)</w:t>
            </w:r>
          </w:p>
        </w:tc>
        <w:tc>
          <w:tcPr>
            <w:tcW w:w="5472" w:type="dxa"/>
          </w:tcPr>
          <w:p w14:paraId="6A824F1F" w14:textId="77777777" w:rsidR="001A4EDA" w:rsidRDefault="00000000">
            <w:r>
              <w:rPr>
                <w:sz w:val="18"/>
              </w:rPr>
              <w:t>https://www.iso.org/standard/75066.html</w:t>
            </w:r>
          </w:p>
        </w:tc>
      </w:tr>
      <w:tr w:rsidR="001A4EDA" w14:paraId="547CFF94" w14:textId="77777777">
        <w:trPr>
          <w:jc w:val="center"/>
        </w:trPr>
        <w:tc>
          <w:tcPr>
            <w:tcW w:w="2880" w:type="dxa"/>
            <w:shd w:val="clear" w:color="auto" w:fill="F2F5F8"/>
          </w:tcPr>
          <w:p w14:paraId="52EDF2D1" w14:textId="77777777" w:rsidR="001A4EDA" w:rsidRDefault="00000000">
            <w:r>
              <w:rPr>
                <w:sz w:val="18"/>
              </w:rPr>
              <w:t>AAS / IEC 63278</w:t>
            </w:r>
          </w:p>
        </w:tc>
        <w:tc>
          <w:tcPr>
            <w:tcW w:w="1728" w:type="dxa"/>
            <w:shd w:val="clear" w:color="auto" w:fill="F2F5F8"/>
          </w:tcPr>
          <w:p w14:paraId="0D892A26" w14:textId="77777777" w:rsidR="001A4EDA" w:rsidRDefault="00000000">
            <w:r>
              <w:rPr>
                <w:sz w:val="18"/>
              </w:rPr>
              <w:t>IEC/IDTA</w:t>
            </w:r>
          </w:p>
        </w:tc>
        <w:tc>
          <w:tcPr>
            <w:tcW w:w="2160" w:type="dxa"/>
            <w:shd w:val="clear" w:color="auto" w:fill="F2F5F8"/>
          </w:tcPr>
          <w:p w14:paraId="6222AEB2" w14:textId="77777777" w:rsidR="001A4EDA" w:rsidRDefault="00000000">
            <w:r>
              <w:rPr>
                <w:sz w:val="18"/>
              </w:rPr>
              <w:t>IEC 63278-1 (2023)</w:t>
            </w:r>
          </w:p>
        </w:tc>
        <w:tc>
          <w:tcPr>
            <w:tcW w:w="5472" w:type="dxa"/>
            <w:shd w:val="clear" w:color="auto" w:fill="F2F5F8"/>
          </w:tcPr>
          <w:p w14:paraId="6794DA06" w14:textId="77777777" w:rsidR="001A4EDA" w:rsidRDefault="00000000">
            <w:r>
              <w:rPr>
                <w:sz w:val="18"/>
              </w:rPr>
              <w:t>https://industrialdigitaltwin.org/en/</w:t>
            </w:r>
          </w:p>
        </w:tc>
      </w:tr>
      <w:tr w:rsidR="001A4EDA" w14:paraId="4B76FDB3" w14:textId="77777777">
        <w:trPr>
          <w:jc w:val="center"/>
        </w:trPr>
        <w:tc>
          <w:tcPr>
            <w:tcW w:w="2880" w:type="dxa"/>
          </w:tcPr>
          <w:p w14:paraId="5A65C414" w14:textId="77777777" w:rsidR="001A4EDA" w:rsidRDefault="00000000">
            <w:r>
              <w:rPr>
                <w:sz w:val="18"/>
              </w:rPr>
              <w:t>AutomationML / IEC 62714</w:t>
            </w:r>
          </w:p>
        </w:tc>
        <w:tc>
          <w:tcPr>
            <w:tcW w:w="1728" w:type="dxa"/>
          </w:tcPr>
          <w:p w14:paraId="0D202203" w14:textId="77777777" w:rsidR="001A4EDA" w:rsidRDefault="00000000">
            <w:r>
              <w:rPr>
                <w:sz w:val="18"/>
              </w:rPr>
              <w:t>IEC</w:t>
            </w:r>
          </w:p>
        </w:tc>
        <w:tc>
          <w:tcPr>
            <w:tcW w:w="2160" w:type="dxa"/>
          </w:tcPr>
          <w:p w14:paraId="24C59267" w14:textId="77777777" w:rsidR="001A4EDA" w:rsidRDefault="00000000">
            <w:r>
              <w:rPr>
                <w:sz w:val="18"/>
              </w:rPr>
              <w:t>IEC 62714-1 through -4</w:t>
            </w:r>
          </w:p>
        </w:tc>
        <w:tc>
          <w:tcPr>
            <w:tcW w:w="5472" w:type="dxa"/>
          </w:tcPr>
          <w:p w14:paraId="4A8E2D91" w14:textId="77777777" w:rsidR="001A4EDA" w:rsidRDefault="00000000">
            <w:r>
              <w:rPr>
                <w:sz w:val="18"/>
              </w:rPr>
              <w:t>https://www.automationml.org/</w:t>
            </w:r>
          </w:p>
        </w:tc>
      </w:tr>
      <w:tr w:rsidR="001A4EDA" w14:paraId="1AE33C14" w14:textId="77777777">
        <w:trPr>
          <w:jc w:val="center"/>
        </w:trPr>
        <w:tc>
          <w:tcPr>
            <w:tcW w:w="2880" w:type="dxa"/>
            <w:shd w:val="clear" w:color="auto" w:fill="F2F5F8"/>
          </w:tcPr>
          <w:p w14:paraId="2EEF96B1" w14:textId="77777777" w:rsidR="001A4EDA" w:rsidRDefault="00000000">
            <w:r>
              <w:rPr>
                <w:sz w:val="18"/>
              </w:rPr>
              <w:t>MTConnect</w:t>
            </w:r>
          </w:p>
        </w:tc>
        <w:tc>
          <w:tcPr>
            <w:tcW w:w="1728" w:type="dxa"/>
            <w:shd w:val="clear" w:color="auto" w:fill="F2F5F8"/>
          </w:tcPr>
          <w:p w14:paraId="3874D5E6" w14:textId="77777777" w:rsidR="001A4EDA" w:rsidRDefault="00000000">
            <w:r>
              <w:rPr>
                <w:sz w:val="18"/>
              </w:rPr>
              <w:t>MTConnect Institute</w:t>
            </w:r>
          </w:p>
        </w:tc>
        <w:tc>
          <w:tcPr>
            <w:tcW w:w="2160" w:type="dxa"/>
            <w:shd w:val="clear" w:color="auto" w:fill="F2F5F8"/>
          </w:tcPr>
          <w:p w14:paraId="753EAAF9" w14:textId="77777777" w:rsidR="001A4EDA" w:rsidRDefault="00000000">
            <w:r>
              <w:rPr>
                <w:sz w:val="18"/>
              </w:rPr>
              <w:t>ANSI/MTC1.4-2018</w:t>
            </w:r>
          </w:p>
        </w:tc>
        <w:tc>
          <w:tcPr>
            <w:tcW w:w="5472" w:type="dxa"/>
            <w:shd w:val="clear" w:color="auto" w:fill="F2F5F8"/>
          </w:tcPr>
          <w:p w14:paraId="00320B2C" w14:textId="77777777" w:rsidR="001A4EDA" w:rsidRDefault="00000000">
            <w:r>
              <w:rPr>
                <w:sz w:val="18"/>
              </w:rPr>
              <w:t>https://www.mtconnect.org/</w:t>
            </w:r>
          </w:p>
        </w:tc>
      </w:tr>
      <w:tr w:rsidR="001A4EDA" w14:paraId="6B348524" w14:textId="77777777">
        <w:trPr>
          <w:jc w:val="center"/>
        </w:trPr>
        <w:tc>
          <w:tcPr>
            <w:tcW w:w="2880" w:type="dxa"/>
          </w:tcPr>
          <w:p w14:paraId="1A847B60" w14:textId="77777777" w:rsidR="001A4EDA" w:rsidRDefault="00000000">
            <w:r>
              <w:rPr>
                <w:sz w:val="18"/>
              </w:rPr>
              <w:t>Sparkplug B</w:t>
            </w:r>
          </w:p>
        </w:tc>
        <w:tc>
          <w:tcPr>
            <w:tcW w:w="1728" w:type="dxa"/>
          </w:tcPr>
          <w:p w14:paraId="677DC4E6" w14:textId="77777777" w:rsidR="001A4EDA" w:rsidRDefault="00000000">
            <w:r>
              <w:rPr>
                <w:sz w:val="18"/>
              </w:rPr>
              <w:t>Eclipse Foundation</w:t>
            </w:r>
          </w:p>
        </w:tc>
        <w:tc>
          <w:tcPr>
            <w:tcW w:w="2160" w:type="dxa"/>
          </w:tcPr>
          <w:p w14:paraId="5EF7A024" w14:textId="77777777" w:rsidR="001A4EDA" w:rsidRDefault="00000000">
            <w:r>
              <w:rPr>
                <w:sz w:val="18"/>
              </w:rPr>
              <w:t>v3.0</w:t>
            </w:r>
          </w:p>
        </w:tc>
        <w:tc>
          <w:tcPr>
            <w:tcW w:w="5472" w:type="dxa"/>
          </w:tcPr>
          <w:p w14:paraId="5CC77731" w14:textId="77777777" w:rsidR="001A4EDA" w:rsidRDefault="00000000">
            <w:r>
              <w:rPr>
                <w:sz w:val="18"/>
              </w:rPr>
              <w:t>https://sparkplug.eclipse.org/</w:t>
            </w:r>
          </w:p>
        </w:tc>
      </w:tr>
      <w:tr w:rsidR="001A4EDA" w14:paraId="1610BF72" w14:textId="77777777">
        <w:trPr>
          <w:jc w:val="center"/>
        </w:trPr>
        <w:tc>
          <w:tcPr>
            <w:tcW w:w="2880" w:type="dxa"/>
            <w:shd w:val="clear" w:color="auto" w:fill="F2F5F8"/>
          </w:tcPr>
          <w:p w14:paraId="58E496F6" w14:textId="77777777" w:rsidR="001A4EDA" w:rsidRDefault="00000000">
            <w:r>
              <w:rPr>
                <w:sz w:val="18"/>
              </w:rPr>
              <w:lastRenderedPageBreak/>
              <w:t>EU Machinery Reg</w:t>
            </w:r>
          </w:p>
        </w:tc>
        <w:tc>
          <w:tcPr>
            <w:tcW w:w="1728" w:type="dxa"/>
            <w:shd w:val="clear" w:color="auto" w:fill="F2F5F8"/>
          </w:tcPr>
          <w:p w14:paraId="54802FF6" w14:textId="77777777" w:rsidR="001A4EDA" w:rsidRDefault="00000000">
            <w:r>
              <w:rPr>
                <w:sz w:val="18"/>
              </w:rPr>
              <w:t>EU</w:t>
            </w:r>
          </w:p>
        </w:tc>
        <w:tc>
          <w:tcPr>
            <w:tcW w:w="2160" w:type="dxa"/>
            <w:shd w:val="clear" w:color="auto" w:fill="F2F5F8"/>
          </w:tcPr>
          <w:p w14:paraId="54BCCCFA" w14:textId="77777777" w:rsidR="001A4EDA" w:rsidRDefault="00000000">
            <w:r>
              <w:rPr>
                <w:sz w:val="18"/>
              </w:rPr>
              <w:t>2023/1230 (Jan 2027 mandatory)</w:t>
            </w:r>
          </w:p>
        </w:tc>
        <w:tc>
          <w:tcPr>
            <w:tcW w:w="5472" w:type="dxa"/>
            <w:shd w:val="clear" w:color="auto" w:fill="F2F5F8"/>
          </w:tcPr>
          <w:p w14:paraId="6A108023" w14:textId="77777777" w:rsidR="001A4EDA" w:rsidRDefault="00000000">
            <w:r>
              <w:rPr>
                <w:sz w:val="18"/>
              </w:rPr>
              <w:t>https://osha.europa.eu/en/legislation/directive/regulation-20231230eu-machinery</w:t>
            </w:r>
          </w:p>
        </w:tc>
      </w:tr>
      <w:tr w:rsidR="001A4EDA" w14:paraId="00971CEA" w14:textId="77777777">
        <w:trPr>
          <w:jc w:val="center"/>
        </w:trPr>
        <w:tc>
          <w:tcPr>
            <w:tcW w:w="2880" w:type="dxa"/>
          </w:tcPr>
          <w:p w14:paraId="1B8D2E24" w14:textId="77777777" w:rsidR="001A4EDA" w:rsidRDefault="00000000">
            <w:r>
              <w:rPr>
                <w:sz w:val="18"/>
              </w:rPr>
              <w:t>Catena-X</w:t>
            </w:r>
          </w:p>
        </w:tc>
        <w:tc>
          <w:tcPr>
            <w:tcW w:w="1728" w:type="dxa"/>
          </w:tcPr>
          <w:p w14:paraId="122FD7A0" w14:textId="77777777" w:rsidR="001A4EDA" w:rsidRDefault="00000000">
            <w:r>
              <w:rPr>
                <w:sz w:val="18"/>
              </w:rPr>
              <w:t>Catena-X Consortium</w:t>
            </w:r>
          </w:p>
        </w:tc>
        <w:tc>
          <w:tcPr>
            <w:tcW w:w="2160" w:type="dxa"/>
          </w:tcPr>
          <w:p w14:paraId="506FBF9C" w14:textId="77777777" w:rsidR="001A4EDA" w:rsidRDefault="00000000">
            <w:r>
              <w:rPr>
                <w:sz w:val="18"/>
              </w:rPr>
              <w:t>Current</w:t>
            </w:r>
          </w:p>
        </w:tc>
        <w:tc>
          <w:tcPr>
            <w:tcW w:w="5472" w:type="dxa"/>
          </w:tcPr>
          <w:p w14:paraId="6A169D22" w14:textId="77777777" w:rsidR="001A4EDA" w:rsidRDefault="00000000">
            <w:r>
              <w:rPr>
                <w:sz w:val="18"/>
              </w:rPr>
              <w:t>https://catena-x.net/</w:t>
            </w:r>
          </w:p>
        </w:tc>
      </w:tr>
      <w:tr w:rsidR="001A4EDA" w14:paraId="21C2427C" w14:textId="77777777">
        <w:trPr>
          <w:jc w:val="center"/>
        </w:trPr>
        <w:tc>
          <w:tcPr>
            <w:tcW w:w="2880" w:type="dxa"/>
            <w:shd w:val="clear" w:color="auto" w:fill="F2F5F8"/>
          </w:tcPr>
          <w:p w14:paraId="403CDE47" w14:textId="77777777" w:rsidR="001A4EDA" w:rsidRDefault="00000000">
            <w:r>
              <w:rPr>
                <w:sz w:val="18"/>
              </w:rPr>
              <w:t>NIST Mfg Profile</w:t>
            </w:r>
          </w:p>
        </w:tc>
        <w:tc>
          <w:tcPr>
            <w:tcW w:w="1728" w:type="dxa"/>
            <w:shd w:val="clear" w:color="auto" w:fill="F2F5F8"/>
          </w:tcPr>
          <w:p w14:paraId="7A281625" w14:textId="77777777" w:rsidR="001A4EDA" w:rsidRDefault="00000000">
            <w:r>
              <w:rPr>
                <w:sz w:val="18"/>
              </w:rPr>
              <w:t>NIST</w:t>
            </w:r>
          </w:p>
        </w:tc>
        <w:tc>
          <w:tcPr>
            <w:tcW w:w="2160" w:type="dxa"/>
            <w:shd w:val="clear" w:color="auto" w:fill="F2F5F8"/>
          </w:tcPr>
          <w:p w14:paraId="6EE67243" w14:textId="77777777" w:rsidR="001A4EDA" w:rsidRDefault="00000000">
            <w:r>
              <w:rPr>
                <w:sz w:val="18"/>
              </w:rPr>
              <w:t>IR 8183 R2 (IPD 2025)</w:t>
            </w:r>
          </w:p>
        </w:tc>
        <w:tc>
          <w:tcPr>
            <w:tcW w:w="5472" w:type="dxa"/>
            <w:shd w:val="clear" w:color="auto" w:fill="F2F5F8"/>
          </w:tcPr>
          <w:p w14:paraId="19BA790A" w14:textId="77777777" w:rsidR="001A4EDA" w:rsidRDefault="00000000">
            <w:r>
              <w:rPr>
                <w:sz w:val="18"/>
              </w:rPr>
              <w:t>https://csrc.nist.gov/pubs/ir/8183/r2/ipd</w:t>
            </w:r>
          </w:p>
        </w:tc>
      </w:tr>
    </w:tbl>
    <w:p w14:paraId="347D5E52" w14:textId="77777777" w:rsidR="001A4EDA" w:rsidRDefault="001A4EDA"/>
    <w:p w14:paraId="4898505F" w14:textId="76259F23" w:rsidR="001A4EDA" w:rsidRDefault="00000000">
      <w:pPr>
        <w:pStyle w:val="Heading2"/>
      </w:pPr>
      <w:bookmarkStart w:id="37" w:name="_Toc227587158"/>
      <w:r>
        <w:t>A.4 Microsoft Agent Governance Toolkit (</w:t>
      </w:r>
      <w:r w:rsidR="00430777">
        <w:t>AGT</w:t>
      </w:r>
      <w:r>
        <w:t>)</w:t>
      </w:r>
      <w:bookmarkEnd w:id="37"/>
    </w:p>
    <w:tbl>
      <w:tblPr>
        <w:tblStyle w:val="TableGrid"/>
        <w:tblW w:w="0" w:type="auto"/>
        <w:jc w:val="center"/>
        <w:tblLook w:val="04A0" w:firstRow="1" w:lastRow="0" w:firstColumn="1" w:lastColumn="0" w:noHBand="0" w:noVBand="1"/>
      </w:tblPr>
      <w:tblGrid>
        <w:gridCol w:w="1666"/>
        <w:gridCol w:w="2402"/>
        <w:gridCol w:w="2359"/>
        <w:gridCol w:w="2923"/>
      </w:tblGrid>
      <w:tr w:rsidR="001A4EDA" w14:paraId="48CBE0A3" w14:textId="77777777">
        <w:trPr>
          <w:jc w:val="center"/>
        </w:trPr>
        <w:tc>
          <w:tcPr>
            <w:tcW w:w="2160" w:type="dxa"/>
            <w:shd w:val="clear" w:color="auto" w:fill="1F3A5F"/>
          </w:tcPr>
          <w:p w14:paraId="16502B86" w14:textId="77777777" w:rsidR="001A4EDA" w:rsidRDefault="00000000">
            <w:r>
              <w:rPr>
                <w:b/>
                <w:color w:val="FFFFFF"/>
                <w:sz w:val="20"/>
              </w:rPr>
              <w:t>Component</w:t>
            </w:r>
          </w:p>
        </w:tc>
        <w:tc>
          <w:tcPr>
            <w:tcW w:w="3600" w:type="dxa"/>
            <w:shd w:val="clear" w:color="auto" w:fill="1F3A5F"/>
          </w:tcPr>
          <w:p w14:paraId="1CA27372" w14:textId="77777777" w:rsidR="001A4EDA" w:rsidRDefault="00000000">
            <w:r>
              <w:rPr>
                <w:b/>
                <w:color w:val="FFFFFF"/>
                <w:sz w:val="20"/>
              </w:rPr>
              <w:t>Function</w:t>
            </w:r>
          </w:p>
        </w:tc>
        <w:tc>
          <w:tcPr>
            <w:tcW w:w="3600" w:type="dxa"/>
            <w:shd w:val="clear" w:color="auto" w:fill="1F3A5F"/>
          </w:tcPr>
          <w:p w14:paraId="1F33A5FF" w14:textId="77777777" w:rsidR="001A4EDA" w:rsidRDefault="00000000">
            <w:r>
              <w:rPr>
                <w:b/>
                <w:color w:val="FFFFFF"/>
                <w:sz w:val="20"/>
              </w:rPr>
              <w:t>ADAM Integration Point</w:t>
            </w:r>
          </w:p>
        </w:tc>
        <w:tc>
          <w:tcPr>
            <w:tcW w:w="2880" w:type="dxa"/>
            <w:shd w:val="clear" w:color="auto" w:fill="1F3A5F"/>
          </w:tcPr>
          <w:p w14:paraId="1B73E95A" w14:textId="77777777" w:rsidR="001A4EDA" w:rsidRDefault="00000000">
            <w:r>
              <w:rPr>
                <w:b/>
                <w:color w:val="FFFFFF"/>
                <w:sz w:val="20"/>
              </w:rPr>
              <w:t>URL</w:t>
            </w:r>
          </w:p>
        </w:tc>
      </w:tr>
      <w:tr w:rsidR="001A4EDA" w14:paraId="47A29B6D" w14:textId="77777777">
        <w:trPr>
          <w:jc w:val="center"/>
        </w:trPr>
        <w:tc>
          <w:tcPr>
            <w:tcW w:w="2160" w:type="dxa"/>
          </w:tcPr>
          <w:p w14:paraId="507596DE" w14:textId="77777777" w:rsidR="001A4EDA" w:rsidRDefault="00000000">
            <w:r>
              <w:rPr>
                <w:sz w:val="18"/>
              </w:rPr>
              <w:t>Agent OS</w:t>
            </w:r>
          </w:p>
        </w:tc>
        <w:tc>
          <w:tcPr>
            <w:tcW w:w="3600" w:type="dxa"/>
          </w:tcPr>
          <w:p w14:paraId="4A29B1B1" w14:textId="77777777" w:rsidR="001A4EDA" w:rsidRDefault="00000000">
            <w:r>
              <w:rPr>
                <w:sz w:val="18"/>
              </w:rPr>
              <w:t>Stateless policy engine, sub-millisecond enforcement (&lt;0.1ms p99)</w:t>
            </w:r>
          </w:p>
        </w:tc>
        <w:tc>
          <w:tcPr>
            <w:tcW w:w="3600" w:type="dxa"/>
          </w:tcPr>
          <w:p w14:paraId="3C92B47C" w14:textId="77777777" w:rsidR="001A4EDA" w:rsidRDefault="00000000">
            <w:r>
              <w:rPr>
                <w:sz w:val="18"/>
              </w:rPr>
              <w:t>Security &amp; Trust Plane (IV.4) — Policy Enforcement Orchestrator plugin</w:t>
            </w:r>
          </w:p>
        </w:tc>
        <w:tc>
          <w:tcPr>
            <w:tcW w:w="2880" w:type="dxa"/>
          </w:tcPr>
          <w:p w14:paraId="6322C313" w14:textId="77777777" w:rsidR="001A4EDA" w:rsidRDefault="00000000">
            <w:r>
              <w:rPr>
                <w:sz w:val="18"/>
              </w:rPr>
              <w:t>https://github.com/microsoft/agent-governance-toolkit</w:t>
            </w:r>
          </w:p>
        </w:tc>
      </w:tr>
      <w:tr w:rsidR="001A4EDA" w14:paraId="2766AFD3" w14:textId="77777777">
        <w:trPr>
          <w:jc w:val="center"/>
        </w:trPr>
        <w:tc>
          <w:tcPr>
            <w:tcW w:w="2160" w:type="dxa"/>
            <w:shd w:val="clear" w:color="auto" w:fill="F2F5F8"/>
          </w:tcPr>
          <w:p w14:paraId="4431712D" w14:textId="77777777" w:rsidR="001A4EDA" w:rsidRDefault="00000000">
            <w:r>
              <w:rPr>
                <w:sz w:val="18"/>
              </w:rPr>
              <w:t>Agent Mesh</w:t>
            </w:r>
          </w:p>
        </w:tc>
        <w:tc>
          <w:tcPr>
            <w:tcW w:w="3600" w:type="dxa"/>
            <w:shd w:val="clear" w:color="auto" w:fill="F2F5F8"/>
          </w:tcPr>
          <w:p w14:paraId="37CF9740" w14:textId="77777777" w:rsidR="001A4EDA" w:rsidRDefault="00000000">
            <w:r>
              <w:rPr>
                <w:sz w:val="18"/>
              </w:rPr>
              <w:t>DID-based cryptographic identity, trust scoring (0–1000), IATP protocol</w:t>
            </w:r>
          </w:p>
        </w:tc>
        <w:tc>
          <w:tcPr>
            <w:tcW w:w="3600" w:type="dxa"/>
            <w:shd w:val="clear" w:color="auto" w:fill="F2F5F8"/>
          </w:tcPr>
          <w:p w14:paraId="31EA4C2A" w14:textId="77777777" w:rsidR="001A4EDA" w:rsidRDefault="00000000">
            <w:r>
              <w:rPr>
                <w:sz w:val="18"/>
              </w:rPr>
              <w:t>Agent identity verification, inter-agent trust, cross-model verification</w:t>
            </w:r>
          </w:p>
        </w:tc>
        <w:tc>
          <w:tcPr>
            <w:tcW w:w="2880" w:type="dxa"/>
            <w:shd w:val="clear" w:color="auto" w:fill="F2F5F8"/>
          </w:tcPr>
          <w:p w14:paraId="0478BFE7" w14:textId="77777777" w:rsidR="001A4EDA" w:rsidRDefault="00000000">
            <w:r>
              <w:rPr>
                <w:sz w:val="18"/>
              </w:rPr>
              <w:t>https://github.com/microsoft/agent-governance-toolkit</w:t>
            </w:r>
          </w:p>
        </w:tc>
      </w:tr>
      <w:tr w:rsidR="001A4EDA" w14:paraId="4533315E" w14:textId="77777777">
        <w:trPr>
          <w:jc w:val="center"/>
        </w:trPr>
        <w:tc>
          <w:tcPr>
            <w:tcW w:w="2160" w:type="dxa"/>
          </w:tcPr>
          <w:p w14:paraId="29740041" w14:textId="77777777" w:rsidR="001A4EDA" w:rsidRDefault="00000000">
            <w:r>
              <w:rPr>
                <w:sz w:val="18"/>
              </w:rPr>
              <w:t>Agent Runtime</w:t>
            </w:r>
          </w:p>
        </w:tc>
        <w:tc>
          <w:tcPr>
            <w:tcW w:w="3600" w:type="dxa"/>
          </w:tcPr>
          <w:p w14:paraId="623A85D8" w14:textId="77777777" w:rsidR="001A4EDA" w:rsidRDefault="00000000">
            <w:r>
              <w:rPr>
                <w:sz w:val="18"/>
              </w:rPr>
              <w:t>Execution rings (5 levels), saga orchestration, kill switch</w:t>
            </w:r>
          </w:p>
        </w:tc>
        <w:tc>
          <w:tcPr>
            <w:tcW w:w="3600" w:type="dxa"/>
          </w:tcPr>
          <w:p w14:paraId="7A2D8D33" w14:textId="77777777" w:rsidR="001A4EDA" w:rsidRDefault="00000000">
            <w:r>
              <w:rPr>
                <w:sz w:val="18"/>
              </w:rPr>
              <w:t>Industry-specific ring assignments (see security tables per industry)</w:t>
            </w:r>
          </w:p>
        </w:tc>
        <w:tc>
          <w:tcPr>
            <w:tcW w:w="2880" w:type="dxa"/>
          </w:tcPr>
          <w:p w14:paraId="408EE6A5" w14:textId="77777777" w:rsidR="001A4EDA" w:rsidRDefault="00000000">
            <w:r>
              <w:rPr>
                <w:sz w:val="18"/>
              </w:rPr>
              <w:t>https://github.com/microsoft/agent-governance-toolkit</w:t>
            </w:r>
          </w:p>
        </w:tc>
      </w:tr>
      <w:tr w:rsidR="001A4EDA" w14:paraId="0B8777B4" w14:textId="77777777">
        <w:trPr>
          <w:jc w:val="center"/>
        </w:trPr>
        <w:tc>
          <w:tcPr>
            <w:tcW w:w="2160" w:type="dxa"/>
            <w:shd w:val="clear" w:color="auto" w:fill="F2F5F8"/>
          </w:tcPr>
          <w:p w14:paraId="57F9AC6D" w14:textId="77777777" w:rsidR="001A4EDA" w:rsidRDefault="00000000">
            <w:r>
              <w:rPr>
                <w:sz w:val="18"/>
              </w:rPr>
              <w:t>Agent SRE</w:t>
            </w:r>
          </w:p>
        </w:tc>
        <w:tc>
          <w:tcPr>
            <w:tcW w:w="3600" w:type="dxa"/>
            <w:shd w:val="clear" w:color="auto" w:fill="F2F5F8"/>
          </w:tcPr>
          <w:p w14:paraId="2058C42A" w14:textId="77777777" w:rsidR="001A4EDA" w:rsidRDefault="00000000">
            <w:r>
              <w:rPr>
                <w:sz w:val="18"/>
              </w:rPr>
              <w:t>SLOs, circuit breakers, failover, resource quotas</w:t>
            </w:r>
          </w:p>
        </w:tc>
        <w:tc>
          <w:tcPr>
            <w:tcW w:w="3600" w:type="dxa"/>
            <w:shd w:val="clear" w:color="auto" w:fill="F2F5F8"/>
          </w:tcPr>
          <w:p w14:paraId="086A4EAF" w14:textId="77777777" w:rsidR="001A4EDA" w:rsidRDefault="00000000">
            <w:r>
              <w:rPr>
                <w:sz w:val="18"/>
              </w:rPr>
              <w:t>ADAM’s Stability &amp; Drift Plane integration</w:t>
            </w:r>
          </w:p>
        </w:tc>
        <w:tc>
          <w:tcPr>
            <w:tcW w:w="2880" w:type="dxa"/>
            <w:shd w:val="clear" w:color="auto" w:fill="F2F5F8"/>
          </w:tcPr>
          <w:p w14:paraId="715957BA" w14:textId="77777777" w:rsidR="001A4EDA" w:rsidRDefault="00000000">
            <w:r>
              <w:rPr>
                <w:sz w:val="18"/>
              </w:rPr>
              <w:t>https://github.com/microsoft/agent-governance-toolkit</w:t>
            </w:r>
          </w:p>
        </w:tc>
      </w:tr>
      <w:tr w:rsidR="001A4EDA" w14:paraId="3566FDE2" w14:textId="77777777">
        <w:trPr>
          <w:jc w:val="center"/>
        </w:trPr>
        <w:tc>
          <w:tcPr>
            <w:tcW w:w="2160" w:type="dxa"/>
          </w:tcPr>
          <w:p w14:paraId="6707F50D" w14:textId="77777777" w:rsidR="001A4EDA" w:rsidRDefault="00000000">
            <w:r>
              <w:rPr>
                <w:sz w:val="18"/>
              </w:rPr>
              <w:t>Agent Compliance</w:t>
            </w:r>
          </w:p>
        </w:tc>
        <w:tc>
          <w:tcPr>
            <w:tcW w:w="3600" w:type="dxa"/>
          </w:tcPr>
          <w:p w14:paraId="3750EA8F" w14:textId="77777777" w:rsidR="001A4EDA" w:rsidRDefault="00000000">
            <w:r>
              <w:rPr>
                <w:sz w:val="18"/>
              </w:rPr>
              <w:t>Automated governance verification, regulatory framework mapping</w:t>
            </w:r>
          </w:p>
        </w:tc>
        <w:tc>
          <w:tcPr>
            <w:tcW w:w="3600" w:type="dxa"/>
          </w:tcPr>
          <w:p w14:paraId="36434CF0" w14:textId="77777777" w:rsidR="001A4EDA" w:rsidRDefault="00000000">
            <w:r>
              <w:rPr>
                <w:sz w:val="18"/>
              </w:rPr>
              <w:t>EU AI Act, DORA, NIS2, HIPAA, SOC2 compliance evidence</w:t>
            </w:r>
          </w:p>
        </w:tc>
        <w:tc>
          <w:tcPr>
            <w:tcW w:w="2880" w:type="dxa"/>
          </w:tcPr>
          <w:p w14:paraId="4EEB569F" w14:textId="77777777" w:rsidR="001A4EDA" w:rsidRDefault="00000000">
            <w:r>
              <w:rPr>
                <w:sz w:val="18"/>
              </w:rPr>
              <w:t>https://github.com/microsoft/agent-governance-toolkit</w:t>
            </w:r>
          </w:p>
        </w:tc>
      </w:tr>
    </w:tbl>
    <w:p w14:paraId="4B26A510" w14:textId="77777777" w:rsidR="001A4EDA" w:rsidRDefault="001A4EDA"/>
    <w:p w14:paraId="2497281D" w14:textId="77777777" w:rsidR="001A4EDA" w:rsidRDefault="00000000">
      <w:r>
        <w:br w:type="page"/>
      </w:r>
    </w:p>
    <w:p w14:paraId="55EA9715" w14:textId="77777777" w:rsidR="001A4EDA" w:rsidRDefault="00000000">
      <w:pPr>
        <w:pStyle w:val="Heading1"/>
      </w:pPr>
      <w:bookmarkStart w:id="38" w:name="_Toc227587159"/>
      <w:r>
        <w:lastRenderedPageBreak/>
        <w:t>Final Note</w:t>
      </w:r>
      <w:bookmarkEnd w:id="38"/>
    </w:p>
    <w:p w14:paraId="23B2E376" w14:textId="77777777" w:rsidR="001A4EDA" w:rsidRDefault="00000000">
      <w:r>
        <w:t>This document is a living extension of the ADAM doctrine. As industries evolve, as standards update, and as ADAM deployments generate operational evidence, this document will be revised with the same governance rigor as the core doctrine: versioned, authorized, evidenced, and provable. Industry-specific agents, services, and standards mappings are not static configurations—they are doctrine artifacts subject to the same continuous improvement cycle that governs every other aspect of ADAM.</w:t>
      </w:r>
    </w:p>
    <w:p w14:paraId="20CCEFC0" w14:textId="77777777" w:rsidR="001A4EDA" w:rsidRDefault="00000000">
      <w:r>
        <w:t>The industries covered here—Media, Healthcare &amp; Life Sciences, and Manufacturing—represent three distinct operational realities with fundamentally different risk profiles, regulatory regimes, and interoperability requirements. Yet all three share the same need: autonomous governance that is policy-bounded, evidence-backed, and human-accountable. ADAM provides that governance. These industry extensions tell it where to look, what to enforce, and how to prove it did so correctly.</w:t>
      </w:r>
    </w:p>
    <w:p w14:paraId="71164FF8" w14:textId="77777777" w:rsidR="001A4EDA" w:rsidRDefault="00000000">
      <w:r>
        <w:t>The fictional companies—NetStreamX, NetHealthX, and NetMakeItX—demonstrate what ADAM’s governance looks like in practice: rights violations caught before they happen, clinical trial deviations detected in real-time, supply chain disruptions managed in hours instead of weeks, and worker safety patterns identified and corrected proactively. These are not aspirational scenarios. They are the operational reality that ADAM’s architecture enables.</w:t>
      </w:r>
    </w:p>
    <w:p w14:paraId="0006D848" w14:textId="77777777" w:rsidR="001A4EDA" w:rsidRDefault="00000000">
      <w:r>
        <w:t>The 5-Director Constitution—CEO, CFO, Legal Director, Market Director, CISO—remains the human accountability anchor across all industries. Directors do not manage workflows. They do not intervene in routine operations. They define intent, approve exceptions, and accept accountability for outcomes. Everything else is doctrine.</w:t>
      </w:r>
    </w:p>
    <w:p w14:paraId="21A3E6F3" w14:textId="77777777" w:rsidR="001A4EDA" w:rsidRDefault="00000000">
      <w:r>
        <w:rPr>
          <w:i/>
          <w:sz w:val="20"/>
        </w:rPr>
        <w:t>→ See: ADAM — Autonomy Doctrine &amp; Architecture Model for the complete core doctrine</w:t>
      </w:r>
    </w:p>
    <w:p w14:paraId="27DFB2E0" w14:textId="77777777" w:rsidR="001A4EDA" w:rsidRDefault="00000000">
      <w:r>
        <w:rPr>
          <w:i/>
          <w:sz w:val="20"/>
        </w:rPr>
        <w:t>→ See: ADAM — BOSS Score Formulas for scoring methodology</w:t>
      </w:r>
    </w:p>
    <w:p w14:paraId="4BDDFE23" w14:textId="77777777" w:rsidR="001A4EDA" w:rsidRDefault="00000000">
      <w:r>
        <w:rPr>
          <w:i/>
          <w:sz w:val="20"/>
        </w:rPr>
        <w:t>→ See: ADAM — DNA Deployment Specification for infrastructure generation</w:t>
      </w:r>
    </w:p>
    <w:p w14:paraId="1E6B587D" w14:textId="77777777" w:rsidR="001A4EDA" w:rsidRDefault="00000000">
      <w:r>
        <w:rPr>
          <w:i/>
          <w:sz w:val="20"/>
        </w:rPr>
        <w:t>→ See: ADAM — Agent Org Chart for the complete 81-agent mesh architecture</w:t>
      </w:r>
    </w:p>
    <w:p w14:paraId="172E69BC" w14:textId="77777777" w:rsidR="001A4EDA" w:rsidRDefault="00000000">
      <w:pPr>
        <w:rPr>
          <w:i/>
          <w:sz w:val="20"/>
        </w:rPr>
      </w:pPr>
      <w:r>
        <w:rPr>
          <w:i/>
          <w:sz w:val="20"/>
        </w:rPr>
        <w:t>→ See: ADAM — Governance Charter and Human Directorship for the 5-Director model</w:t>
      </w:r>
    </w:p>
    <w:p w14:paraId="4B410428" w14:textId="77777777" w:rsidR="006125F4" w:rsidRDefault="006125F4">
      <w:pPr>
        <w:rPr>
          <w:i/>
          <w:sz w:val="20"/>
        </w:rPr>
      </w:pPr>
    </w:p>
    <w:p w14:paraId="50681A25" w14:textId="77777777" w:rsidR="006125F4" w:rsidRDefault="006125F4">
      <w:pPr>
        <w:rPr>
          <w:i/>
          <w:sz w:val="20"/>
        </w:rPr>
      </w:pPr>
    </w:p>
    <w:p w14:paraId="1289CA9A" w14:textId="77777777" w:rsidR="006125F4" w:rsidRDefault="006125F4">
      <w:pPr>
        <w:rPr>
          <w:i/>
          <w:sz w:val="20"/>
        </w:rPr>
      </w:pPr>
    </w:p>
    <w:p w14:paraId="4667D55A" w14:textId="1870C0AE" w:rsidR="006125F4" w:rsidRDefault="006125F4">
      <w:pPr>
        <w:spacing w:after="200"/>
        <w:rPr>
          <w:i/>
          <w:sz w:val="20"/>
        </w:rPr>
      </w:pPr>
      <w:r>
        <w:rPr>
          <w:i/>
          <w:sz w:val="20"/>
        </w:rPr>
        <w:br w:type="page"/>
      </w:r>
    </w:p>
    <w:p w14:paraId="389C84AA" w14:textId="77777777" w:rsidR="006125F4" w:rsidRDefault="006125F4"/>
    <w:sectPr w:rsidR="006125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tellar">
    <w:panose1 w:val="020A0402060406010301"/>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209246">
    <w:abstractNumId w:val="8"/>
  </w:num>
  <w:num w:numId="2" w16cid:durableId="1076980658">
    <w:abstractNumId w:val="6"/>
  </w:num>
  <w:num w:numId="3" w16cid:durableId="1026325884">
    <w:abstractNumId w:val="5"/>
  </w:num>
  <w:num w:numId="4" w16cid:durableId="1069309659">
    <w:abstractNumId w:val="4"/>
  </w:num>
  <w:num w:numId="5" w16cid:durableId="1437944329">
    <w:abstractNumId w:val="7"/>
  </w:num>
  <w:num w:numId="6" w16cid:durableId="1692217849">
    <w:abstractNumId w:val="3"/>
  </w:num>
  <w:num w:numId="7" w16cid:durableId="743331498">
    <w:abstractNumId w:val="2"/>
  </w:num>
  <w:num w:numId="8" w16cid:durableId="188641523">
    <w:abstractNumId w:val="1"/>
  </w:num>
  <w:num w:numId="9" w16cid:durableId="20301342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e Beerman">
    <w15:presenceInfo w15:providerId="Windows Live" w15:userId="8dc29cb4f6cbc1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32C"/>
    <w:rsid w:val="00034616"/>
    <w:rsid w:val="0006063C"/>
    <w:rsid w:val="00082781"/>
    <w:rsid w:val="000D7331"/>
    <w:rsid w:val="0015074B"/>
    <w:rsid w:val="001A4EDA"/>
    <w:rsid w:val="0029639D"/>
    <w:rsid w:val="002B424E"/>
    <w:rsid w:val="00326F90"/>
    <w:rsid w:val="003C18A9"/>
    <w:rsid w:val="003F5D04"/>
    <w:rsid w:val="00430777"/>
    <w:rsid w:val="005127D2"/>
    <w:rsid w:val="00606ECD"/>
    <w:rsid w:val="006125F4"/>
    <w:rsid w:val="00642A4B"/>
    <w:rsid w:val="009A5C08"/>
    <w:rsid w:val="009E4938"/>
    <w:rsid w:val="00A66D4F"/>
    <w:rsid w:val="00AA1D8D"/>
    <w:rsid w:val="00AE7EE0"/>
    <w:rsid w:val="00B47730"/>
    <w:rsid w:val="00BA1745"/>
    <w:rsid w:val="00BE583F"/>
    <w:rsid w:val="00CB0664"/>
    <w:rsid w:val="00D70C90"/>
    <w:rsid w:val="00E132D5"/>
    <w:rsid w:val="00E7641F"/>
    <w:rsid w:val="00F31C72"/>
    <w:rsid w:val="00F96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AB89AE7-1F4C-48A1-BBA3-6FC301378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BDA"/>
  </w:style>
  <w:style w:type="paragraph" w:styleId="Heading1">
    <w:name w:val="heading 1"/>
    <w:basedOn w:val="Normal"/>
    <w:next w:val="Normal"/>
    <w:link w:val="Heading1Char"/>
    <w:uiPriority w:val="9"/>
    <w:qFormat/>
    <w:rsid w:val="00CE4B73"/>
    <w:pPr>
      <w:spacing w:before="360" w:after="200"/>
      <w:outlineLvl w:val="0"/>
    </w:pPr>
    <w:rPr>
      <w:rFonts w:ascii="Arial" w:eastAsia="Arial" w:hAnsi="Arial" w:cs="Arial"/>
      <w:b/>
      <w:bCs/>
      <w:color w:val="1F4E79"/>
      <w:kern w:val="0"/>
      <w:sz w:val="36"/>
      <w:szCs w:val="36"/>
      <w14:ligatures w14:val="none"/>
    </w:rPr>
  </w:style>
  <w:style w:type="paragraph" w:styleId="Heading2">
    <w:name w:val="heading 2"/>
    <w:basedOn w:val="Normal"/>
    <w:next w:val="Normal"/>
    <w:link w:val="Heading2Char"/>
    <w:uiPriority w:val="9"/>
    <w:unhideWhenUsed/>
    <w:qFormat/>
    <w:rsid w:val="005D0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02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D0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2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2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2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2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B73"/>
    <w:rPr>
      <w:rFonts w:ascii="Arial" w:eastAsia="Arial" w:hAnsi="Arial" w:cs="Arial"/>
      <w:b/>
      <w:bCs/>
      <w:color w:val="1F4E79"/>
      <w:kern w:val="0"/>
      <w:sz w:val="36"/>
      <w:szCs w:val="36"/>
      <w14:ligatures w14:val="none"/>
    </w:rPr>
  </w:style>
  <w:style w:type="character" w:customStyle="1" w:styleId="Heading2Char">
    <w:name w:val="Heading 2 Char"/>
    <w:basedOn w:val="DefaultParagraphFont"/>
    <w:link w:val="Heading2"/>
    <w:uiPriority w:val="9"/>
    <w:rsid w:val="005D02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02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D0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25A"/>
    <w:rPr>
      <w:rFonts w:eastAsiaTheme="majorEastAsia" w:cstheme="majorBidi"/>
      <w:color w:val="272727" w:themeColor="text1" w:themeTint="D8"/>
    </w:rPr>
  </w:style>
  <w:style w:type="paragraph" w:styleId="Title">
    <w:name w:val="Title"/>
    <w:basedOn w:val="Normal"/>
    <w:next w:val="Normal"/>
    <w:link w:val="TitleChar"/>
    <w:uiPriority w:val="10"/>
    <w:qFormat/>
    <w:rsid w:val="005D02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25A"/>
    <w:pPr>
      <w:spacing w:before="160"/>
      <w:jc w:val="center"/>
    </w:pPr>
    <w:rPr>
      <w:i/>
      <w:iCs/>
      <w:color w:val="404040" w:themeColor="text1" w:themeTint="BF"/>
    </w:rPr>
  </w:style>
  <w:style w:type="character" w:customStyle="1" w:styleId="QuoteChar">
    <w:name w:val="Quote Char"/>
    <w:basedOn w:val="DefaultParagraphFont"/>
    <w:link w:val="Quote"/>
    <w:uiPriority w:val="29"/>
    <w:rsid w:val="005D025A"/>
    <w:rPr>
      <w:i/>
      <w:iCs/>
      <w:color w:val="404040" w:themeColor="text1" w:themeTint="BF"/>
    </w:rPr>
  </w:style>
  <w:style w:type="paragraph" w:styleId="ListParagraph">
    <w:name w:val="List Paragraph"/>
    <w:basedOn w:val="Normal"/>
    <w:qFormat/>
    <w:rsid w:val="005D025A"/>
    <w:pPr>
      <w:ind w:left="720"/>
      <w:contextualSpacing/>
    </w:pPr>
  </w:style>
  <w:style w:type="character" w:styleId="IntenseEmphasis">
    <w:name w:val="Intense Emphasis"/>
    <w:basedOn w:val="DefaultParagraphFont"/>
    <w:uiPriority w:val="21"/>
    <w:qFormat/>
    <w:rsid w:val="005D025A"/>
    <w:rPr>
      <w:i/>
      <w:iCs/>
      <w:color w:val="2F5496" w:themeColor="accent1" w:themeShade="BF"/>
    </w:rPr>
  </w:style>
  <w:style w:type="paragraph" w:styleId="IntenseQuote">
    <w:name w:val="Intense Quote"/>
    <w:basedOn w:val="Normal"/>
    <w:next w:val="Normal"/>
    <w:link w:val="IntenseQuoteChar"/>
    <w:uiPriority w:val="30"/>
    <w:qFormat/>
    <w:rsid w:val="005D0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25A"/>
    <w:rPr>
      <w:i/>
      <w:iCs/>
      <w:color w:val="2F5496" w:themeColor="accent1" w:themeShade="BF"/>
    </w:rPr>
  </w:style>
  <w:style w:type="character" w:styleId="IntenseReference">
    <w:name w:val="Intense Reference"/>
    <w:basedOn w:val="DefaultParagraphFont"/>
    <w:uiPriority w:val="32"/>
    <w:qFormat/>
    <w:rsid w:val="005D025A"/>
    <w:rPr>
      <w:b/>
      <w:bCs/>
      <w:smallCaps/>
      <w:color w:val="2F5496" w:themeColor="accent1" w:themeShade="BF"/>
      <w:spacing w:val="5"/>
    </w:rPr>
  </w:style>
  <w:style w:type="paragraph" w:styleId="TOCHeading">
    <w:name w:val="TOC Heading"/>
    <w:basedOn w:val="Heading1"/>
    <w:next w:val="Normal"/>
    <w:uiPriority w:val="39"/>
    <w:unhideWhenUsed/>
    <w:qFormat/>
    <w:rsid w:val="007F0C75"/>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7F0C75"/>
    <w:pPr>
      <w:spacing w:after="100"/>
    </w:pPr>
  </w:style>
  <w:style w:type="paragraph" w:styleId="TOC2">
    <w:name w:val="toc 2"/>
    <w:basedOn w:val="Normal"/>
    <w:next w:val="Normal"/>
    <w:autoRedefine/>
    <w:uiPriority w:val="39"/>
    <w:unhideWhenUsed/>
    <w:rsid w:val="007F0C75"/>
    <w:pPr>
      <w:spacing w:after="100"/>
      <w:ind w:left="240"/>
    </w:pPr>
  </w:style>
  <w:style w:type="paragraph" w:styleId="TOC3">
    <w:name w:val="toc 3"/>
    <w:basedOn w:val="Normal"/>
    <w:next w:val="Normal"/>
    <w:autoRedefine/>
    <w:uiPriority w:val="39"/>
    <w:unhideWhenUsed/>
    <w:rsid w:val="007F0C75"/>
    <w:pPr>
      <w:spacing w:after="100"/>
      <w:ind w:left="480"/>
    </w:pPr>
  </w:style>
  <w:style w:type="character" w:styleId="Hyperlink">
    <w:name w:val="Hyperlink"/>
    <w:basedOn w:val="DefaultParagraphFont"/>
    <w:uiPriority w:val="99"/>
    <w:unhideWhenUsed/>
    <w:rsid w:val="007F0C75"/>
    <w:rPr>
      <w:color w:val="0563C1" w:themeColor="hyperlink"/>
      <w:u w:val="single"/>
    </w:rPr>
  </w:style>
  <w:style w:type="paragraph" w:styleId="TOC4">
    <w:name w:val="toc 4"/>
    <w:basedOn w:val="Normal"/>
    <w:next w:val="Normal"/>
    <w:autoRedefine/>
    <w:uiPriority w:val="39"/>
    <w:unhideWhenUsed/>
    <w:rsid w:val="00BF3572"/>
    <w:pPr>
      <w:spacing w:after="100"/>
      <w:ind w:left="720"/>
    </w:pPr>
    <w:rPr>
      <w:rFonts w:eastAsiaTheme="minorEastAsia"/>
    </w:rPr>
  </w:style>
  <w:style w:type="paragraph" w:styleId="TOC5">
    <w:name w:val="toc 5"/>
    <w:basedOn w:val="Normal"/>
    <w:next w:val="Normal"/>
    <w:autoRedefine/>
    <w:uiPriority w:val="39"/>
    <w:unhideWhenUsed/>
    <w:rsid w:val="00BF3572"/>
    <w:pPr>
      <w:spacing w:after="100"/>
      <w:ind w:left="960"/>
    </w:pPr>
    <w:rPr>
      <w:rFonts w:eastAsiaTheme="minorEastAsia"/>
    </w:rPr>
  </w:style>
  <w:style w:type="paragraph" w:styleId="TOC6">
    <w:name w:val="toc 6"/>
    <w:basedOn w:val="Normal"/>
    <w:next w:val="Normal"/>
    <w:autoRedefine/>
    <w:uiPriority w:val="39"/>
    <w:unhideWhenUsed/>
    <w:rsid w:val="00BF3572"/>
    <w:pPr>
      <w:spacing w:after="100"/>
      <w:ind w:left="1200"/>
    </w:pPr>
    <w:rPr>
      <w:rFonts w:eastAsiaTheme="minorEastAsia"/>
    </w:rPr>
  </w:style>
  <w:style w:type="paragraph" w:styleId="TOC7">
    <w:name w:val="toc 7"/>
    <w:basedOn w:val="Normal"/>
    <w:next w:val="Normal"/>
    <w:autoRedefine/>
    <w:uiPriority w:val="39"/>
    <w:unhideWhenUsed/>
    <w:rsid w:val="00BF3572"/>
    <w:pPr>
      <w:spacing w:after="100"/>
      <w:ind w:left="1440"/>
    </w:pPr>
    <w:rPr>
      <w:rFonts w:eastAsiaTheme="minorEastAsia"/>
    </w:rPr>
  </w:style>
  <w:style w:type="paragraph" w:styleId="TOC8">
    <w:name w:val="toc 8"/>
    <w:basedOn w:val="Normal"/>
    <w:next w:val="Normal"/>
    <w:autoRedefine/>
    <w:uiPriority w:val="39"/>
    <w:unhideWhenUsed/>
    <w:rsid w:val="00BF3572"/>
    <w:pPr>
      <w:spacing w:after="100"/>
      <w:ind w:left="1680"/>
    </w:pPr>
    <w:rPr>
      <w:rFonts w:eastAsiaTheme="minorEastAsia"/>
    </w:rPr>
  </w:style>
  <w:style w:type="paragraph" w:styleId="TOC9">
    <w:name w:val="toc 9"/>
    <w:basedOn w:val="Normal"/>
    <w:next w:val="Normal"/>
    <w:autoRedefine/>
    <w:uiPriority w:val="39"/>
    <w:unhideWhenUsed/>
    <w:rsid w:val="00BF3572"/>
    <w:pPr>
      <w:spacing w:after="100"/>
      <w:ind w:left="1920"/>
    </w:pPr>
    <w:rPr>
      <w:rFonts w:eastAsiaTheme="minorEastAsia"/>
    </w:rPr>
  </w:style>
  <w:style w:type="character" w:styleId="UnresolvedMention">
    <w:name w:val="Unresolved Mention"/>
    <w:basedOn w:val="DefaultParagraphFont"/>
    <w:uiPriority w:val="99"/>
    <w:semiHidden/>
    <w:unhideWhenUsed/>
    <w:rsid w:val="00BF3572"/>
    <w:rPr>
      <w:color w:val="605E5C"/>
      <w:shd w:val="clear" w:color="auto" w:fill="E1DFDD"/>
    </w:rPr>
  </w:style>
  <w:style w:type="paragraph" w:styleId="NormalWeb">
    <w:name w:val="Normal (Web)"/>
    <w:basedOn w:val="Normal"/>
    <w:uiPriority w:val="99"/>
    <w:unhideWhenUsed/>
    <w:rsid w:val="004C1153"/>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C1153"/>
    <w:rPr>
      <w:i/>
      <w:iCs/>
    </w:rPr>
  </w:style>
  <w:style w:type="character" w:styleId="CommentReference">
    <w:name w:val="annotation reference"/>
    <w:basedOn w:val="DefaultParagraphFont"/>
    <w:rsid w:val="001264E3"/>
    <w:rPr>
      <w:sz w:val="16"/>
      <w:szCs w:val="16"/>
    </w:rPr>
  </w:style>
  <w:style w:type="paragraph" w:styleId="CommentText">
    <w:name w:val="annotation text"/>
    <w:basedOn w:val="Normal"/>
    <w:link w:val="CommentTextChar"/>
    <w:rsid w:val="001264E3"/>
    <w:pPr>
      <w:spacing w:after="200"/>
    </w:pPr>
    <w:rPr>
      <w:kern w:val="0"/>
      <w:sz w:val="20"/>
      <w:szCs w:val="20"/>
      <w:lang w:val="en-US"/>
      <w14:ligatures w14:val="none"/>
    </w:rPr>
  </w:style>
  <w:style w:type="character" w:customStyle="1" w:styleId="CommentTextChar">
    <w:name w:val="Comment Text Char"/>
    <w:basedOn w:val="DefaultParagraphFont"/>
    <w:link w:val="CommentText"/>
    <w:rsid w:val="001264E3"/>
    <w:rPr>
      <w:kern w:val="0"/>
      <w:sz w:val="20"/>
      <w:szCs w:val="20"/>
      <w:lang w:val="en-US"/>
      <w14:ligatures w14:val="none"/>
    </w:rPr>
  </w:style>
  <w:style w:type="paragraph" w:customStyle="1" w:styleId="FirstParagraph">
    <w:name w:val="First Paragraph"/>
    <w:basedOn w:val="BodyText"/>
    <w:next w:val="BodyText"/>
    <w:qFormat/>
    <w:rsid w:val="00A11690"/>
    <w:pPr>
      <w:spacing w:before="180" w:after="180"/>
    </w:pPr>
    <w:rPr>
      <w:kern w:val="0"/>
      <w:lang w:val="en-US"/>
      <w14:ligatures w14:val="none"/>
    </w:rPr>
  </w:style>
  <w:style w:type="paragraph" w:styleId="BodyText">
    <w:name w:val="Body Text"/>
    <w:basedOn w:val="Normal"/>
    <w:link w:val="BodyTextChar"/>
    <w:uiPriority w:val="99"/>
    <w:semiHidden/>
    <w:unhideWhenUsed/>
    <w:rsid w:val="00A11690"/>
    <w:pPr>
      <w:spacing w:after="120"/>
    </w:pPr>
  </w:style>
  <w:style w:type="character" w:customStyle="1" w:styleId="BodyTextChar">
    <w:name w:val="Body Text Char"/>
    <w:basedOn w:val="DefaultParagraphFont"/>
    <w:link w:val="BodyText"/>
    <w:uiPriority w:val="99"/>
    <w:semiHidden/>
    <w:rsid w:val="00A11690"/>
  </w:style>
  <w:style w:type="paragraph" w:customStyle="1" w:styleId="Compact">
    <w:name w:val="Compact"/>
    <w:basedOn w:val="BodyText"/>
    <w:qFormat/>
    <w:rsid w:val="00364669"/>
    <w:pPr>
      <w:spacing w:before="36" w:after="36"/>
    </w:pPr>
    <w:rPr>
      <w:rFonts w:ascii="Segoe UI" w:hAnsi="Segoe UI" w:cs="Segoe UI"/>
      <w:kern w:val="0"/>
      <w:lang w:val="en-US"/>
      <w14:ligatures w14:val="none"/>
    </w:rPr>
  </w:style>
  <w:style w:type="paragraph" w:styleId="ListBullet">
    <w:name w:val="List Bullet"/>
    <w:basedOn w:val="Normal"/>
    <w:uiPriority w:val="99"/>
    <w:unhideWhenUsed/>
    <w:rsid w:val="00F6494C"/>
    <w:pPr>
      <w:numPr>
        <w:numId w:val="97"/>
      </w:numPr>
      <w:tabs>
        <w:tab w:val="clear" w:pos="360"/>
      </w:tabs>
      <w:spacing w:after="120" w:line="276" w:lineRule="auto"/>
      <w:ind w:left="0" w:firstLine="0"/>
      <w:contextualSpacing/>
    </w:pPr>
    <w:rPr>
      <w:rFonts w:ascii="Calibri" w:eastAsiaTheme="minorEastAsia" w:hAnsi="Calibri"/>
      <w:color w:val="333333"/>
      <w:kern w:val="0"/>
      <w:sz w:val="22"/>
      <w:szCs w:val="22"/>
      <w:lang w:val="en-US"/>
      <w14:ligatures w14:val="none"/>
    </w:rPr>
  </w:style>
  <w:style w:type="table" w:styleId="TableGrid">
    <w:name w:val="Table Grid"/>
    <w:basedOn w:val="TableNormal"/>
    <w:uiPriority w:val="59"/>
    <w:rsid w:val="00F6494C"/>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216</Pages>
  <Words>79672</Words>
  <Characters>454131</Characters>
  <Application>Microsoft Office Word</Application>
  <DocSecurity>0</DocSecurity>
  <Lines>3784</Lines>
  <Paragraphs>1065</Paragraphs>
  <ScaleCrop>false</ScaleCrop>
  <Company/>
  <LinksUpToDate>false</LinksUpToDate>
  <CharactersWithSpaces>532738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Lamb</dc:creator>
  <cp:keywords/>
  <dc:description/>
  <cp:lastModifiedBy>Michael Lamb</cp:lastModifiedBy>
  <cp:revision>532</cp:revision>
  <dcterms:created xsi:type="dcterms:W3CDTF">2026-04-09T08:15:00Z</dcterms:created>
  <dcterms:modified xsi:type="dcterms:W3CDTF">2026-04-18T17:06:00Z</dcterms:modified>
</cp:coreProperties>
</file>