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6BAD" w14:textId="46FBA2EF" w:rsidR="00EB3336" w:rsidRDefault="00EB3336" w:rsidP="00B6177E">
      <w:pPr>
        <w:pStyle w:val="Heading1"/>
        <w:rPr>
          <w:lang w:val="en-US"/>
        </w:rPr>
      </w:pPr>
      <w:bookmarkStart w:id="0" w:name="_Toc225361111"/>
      <w:r>
        <w:rPr>
          <w:lang w:val="en-US"/>
        </w:rPr>
        <w:t>ADAM – Legal and Arbitration Breakout</w:t>
      </w:r>
      <w:bookmarkEnd w:id="0"/>
    </w:p>
    <w:p w14:paraId="5FFCD289" w14:textId="77777777" w:rsidR="00EB3336" w:rsidRDefault="00EB3336">
      <w:pPr>
        <w:rPr>
          <w:lang w:val="en-US"/>
        </w:rPr>
      </w:pPr>
    </w:p>
    <w:p w14:paraId="79D19372" w14:textId="77777777" w:rsidR="00DB4E4D" w:rsidRDefault="00DB4E4D">
      <w:pPr>
        <w:rPr>
          <w:rFonts w:asciiTheme="majorHAnsi" w:eastAsia="Times New Roman" w:hAnsiTheme="majorHAnsi" w:cstheme="majorBidi"/>
          <w:color w:val="2F5496" w:themeColor="accent1" w:themeShade="BF"/>
          <w:sz w:val="40"/>
          <w:szCs w:val="40"/>
          <w:lang/>
        </w:rPr>
      </w:pPr>
      <w:r>
        <w:rPr>
          <w:rFonts w:eastAsia="Times New Roman"/>
          <w:lang/>
        </w:rPr>
        <w:br w:type="page"/>
      </w:r>
    </w:p>
    <w:sdt>
      <w:sdtPr>
        <w:id w:val="1054197703"/>
        <w:docPartObj>
          <w:docPartGallery w:val="Table of Contents"/>
          <w:docPartUnique/>
        </w:docPartObj>
      </w:sdtPr>
      <w:sdtEndPr>
        <w:rPr>
          <w:rFonts w:asciiTheme="minorHAnsi" w:eastAsiaTheme="minorHAnsi" w:hAnsiTheme="minorHAnsi" w:cstheme="minorBidi"/>
          <w:b/>
          <w:bCs/>
          <w:noProof/>
          <w:color w:val="auto"/>
          <w:kern w:val="2"/>
          <w:sz w:val="24"/>
          <w:szCs w:val="24"/>
          <w:lang/>
          <w14:ligatures w14:val="standardContextual"/>
        </w:rPr>
      </w:sdtEndPr>
      <w:sdtContent>
        <w:p w14:paraId="4BA05CD8" w14:textId="33EFE86A" w:rsidR="00DB4E4D" w:rsidRDefault="00DB4E4D">
          <w:pPr>
            <w:pStyle w:val="TOCHeading"/>
          </w:pPr>
          <w:r>
            <w:t>Table of Contents</w:t>
          </w:r>
        </w:p>
        <w:p w14:paraId="0751491B" w14:textId="2D1AE7EB" w:rsidR="000E1771" w:rsidRDefault="00DB4E4D">
          <w:pPr>
            <w:pStyle w:val="TOC1"/>
            <w:tabs>
              <w:tab w:val="right" w:leader="dot" w:pos="9016"/>
            </w:tabs>
            <w:rPr>
              <w:rFonts w:eastAsiaTheme="minorEastAsia"/>
              <w:noProof/>
              <w:lang/>
            </w:rPr>
          </w:pPr>
          <w:r>
            <w:fldChar w:fldCharType="begin"/>
            <w:instrText xml:space="preserve"> TOC \o "1-3" \h \z \u </w:instrText>
            <w:fldChar w:fldCharType="separate"/>
          </w:r>
          <w:hyperlink w:anchor="_Toc225361111" w:history="1">
            <w:r>
              <w:rPr>
                <w:rStyle w:val="Hyperlink"/>
                <w:noProof/>
                <w:lang w:val="en-US"/>
              </w:rPr>
              <w:t>ADAM – Legal and Arbitration Breakout</w:t>
            </w:r>
            <w:r>
              <w:rPr>
                <w:noProof/>
                <w:webHidden/>
              </w:rPr>
              <w:tab/>
              <w:fldChar w:fldCharType="begin"/>
              <w:instrText xml:space="preserve"> PAGEREF _Toc225361111 \h </w:instrText>
              <w:fldChar w:fldCharType="separate"/>
              <w:t>1</w:t>
              <w:fldChar w:fldCharType="end"/>
            </w:r>
          </w:hyperlink>
        </w:p>
        <w:p w14:paraId="546E4FF9" w14:textId="39D3224C" w:rsidR="000E1771" w:rsidRDefault="000E1771">
          <w:pPr>
            <w:pStyle w:val="TOC1"/>
            <w:tabs>
              <w:tab w:val="right" w:leader="dot" w:pos="9016"/>
            </w:tabs>
            <w:rPr>
              <w:rFonts w:eastAsiaTheme="minorEastAsia"/>
              <w:noProof/>
              <w:lang/>
            </w:rPr>
          </w:pPr>
          <w:hyperlink w:anchor="_Toc225361112" w:history="1">
            <w:r>
              <w:rPr>
                <w:rStyle w:val="Hyperlink"/>
                <w:rFonts w:eastAsia="Times New Roman"/>
                <w:noProof/>
                <w:lang/>
              </w:rPr>
              <w:t xml:space="preserve">Section </w:t>
            </w:r>
            <w:r>
              <w:rPr>
                <w:rStyle w:val="Hyperlink"/>
                <w:rFonts w:eastAsia="Times New Roman"/>
                <w:noProof/>
                <w:lang w:val="en-US"/>
              </w:rPr>
              <w:t>I</w:t>
            </w:r>
            <w:r>
              <w:rPr>
                <w:rStyle w:val="Hyperlink"/>
                <w:rFonts w:eastAsia="Times New Roman"/>
                <w:noProof/>
                <w:lang/>
              </w:rPr>
              <w:t xml:space="preserve"> — Legal Personality Boundary and Accountable Autonomy</w:t>
            </w:r>
            <w:r>
              <w:rPr>
                <w:noProof/>
                <w:webHidden/>
              </w:rPr>
              <w:tab/>
              <w:fldChar w:fldCharType="begin"/>
              <w:instrText xml:space="preserve"> PAGEREF _Toc225361112 \h </w:instrText>
              <w:fldChar w:fldCharType="separate"/>
              <w:t>3</w:t>
              <w:fldChar w:fldCharType="end"/>
            </w:r>
          </w:hyperlink>
        </w:p>
        <w:p w14:paraId="26FEE205" w14:textId="2D4211D6" w:rsidR="000E1771" w:rsidRDefault="000E1771">
          <w:pPr>
            <w:pStyle w:val="TOC2"/>
            <w:tabs>
              <w:tab w:val="right" w:leader="dot" w:pos="9016"/>
            </w:tabs>
            <w:rPr>
              <w:rFonts w:eastAsiaTheme="minorEastAsia"/>
              <w:noProof/>
              <w:lang/>
            </w:rPr>
          </w:pPr>
          <w:hyperlink w:anchor="_Toc225361113" w:history="1">
            <w:r>
              <w:rPr>
                <w:rStyle w:val="Hyperlink"/>
                <w:rFonts w:eastAsia="Times New Roman"/>
                <w:noProof/>
                <w:lang w:val="en-US"/>
              </w:rPr>
              <w:t>1</w:t>
            </w:r>
            <w:r>
              <w:rPr>
                <w:rStyle w:val="Hyperlink"/>
                <w:rFonts w:eastAsia="Times New Roman"/>
                <w:noProof/>
                <w:lang/>
              </w:rPr>
              <w:t>. Why this boundary exists</w:t>
            </w:r>
            <w:r>
              <w:rPr>
                <w:noProof/>
                <w:webHidden/>
              </w:rPr>
              <w:tab/>
              <w:fldChar w:fldCharType="begin"/>
              <w:instrText xml:space="preserve"> PAGEREF _Toc225361113 \h </w:instrText>
              <w:fldChar w:fldCharType="separate"/>
              <w:t>3</w:t>
              <w:fldChar w:fldCharType="end"/>
            </w:r>
          </w:hyperlink>
        </w:p>
        <w:p w14:paraId="1B319623" w14:textId="201F87B4" w:rsidR="000E1771" w:rsidRDefault="000E1771">
          <w:pPr>
            <w:pStyle w:val="TOC2"/>
            <w:tabs>
              <w:tab w:val="right" w:leader="dot" w:pos="9016"/>
            </w:tabs>
            <w:rPr>
              <w:rFonts w:eastAsiaTheme="minorEastAsia"/>
              <w:noProof/>
              <w:lang/>
            </w:rPr>
          </w:pPr>
          <w:hyperlink w:anchor="_Toc225361114" w:history="1">
            <w:r>
              <w:rPr>
                <w:rStyle w:val="Hyperlink"/>
                <w:rFonts w:eastAsia="Times New Roman"/>
                <w:noProof/>
                <w:lang/>
              </w:rPr>
              <w:t>2</w:t>
            </w:r>
            <w:r>
              <w:rPr>
                <w:rStyle w:val="Hyperlink"/>
                <w:rFonts w:eastAsia="Times New Roman"/>
                <w:noProof/>
                <w:lang w:val="en-US"/>
              </w:rPr>
              <w:t>.</w:t>
            </w:r>
            <w:r>
              <w:rPr>
                <w:rStyle w:val="Hyperlink"/>
                <w:rFonts w:eastAsia="Times New Roman"/>
                <w:noProof/>
                <w:lang/>
              </w:rPr>
              <w:t xml:space="preserve"> ADAM’s status: not a legal actor</w:t>
            </w:r>
            <w:r>
              <w:rPr>
                <w:noProof/>
                <w:webHidden/>
              </w:rPr>
              <w:tab/>
              <w:fldChar w:fldCharType="begin"/>
              <w:instrText xml:space="preserve"> PAGEREF _Toc225361114 \h </w:instrText>
              <w:fldChar w:fldCharType="separate"/>
              <w:t>3</w:t>
              <w:fldChar w:fldCharType="end"/>
            </w:r>
          </w:hyperlink>
        </w:p>
        <w:p w14:paraId="585978A8" w14:textId="191A9CD1" w:rsidR="000E1771" w:rsidRDefault="000E1771">
          <w:pPr>
            <w:pStyle w:val="TOC3"/>
            <w:tabs>
              <w:tab w:val="right" w:leader="dot" w:pos="9016"/>
            </w:tabs>
            <w:rPr>
              <w:rFonts w:eastAsiaTheme="minorEastAsia"/>
              <w:noProof/>
              <w:lang/>
            </w:rPr>
          </w:pPr>
          <w:hyperlink w:anchor="_Toc225361115" w:history="1">
            <w:r>
              <w:rPr>
                <w:rStyle w:val="Hyperlink"/>
                <w:rFonts w:eastAsia="Times New Roman"/>
                <w:noProof/>
                <w:lang w:val="en-US"/>
              </w:rPr>
              <w:t>3.</w:t>
            </w:r>
            <w:r>
              <w:rPr>
                <w:rStyle w:val="Hyperlink"/>
                <w:rFonts w:eastAsia="Times New Roman"/>
                <w:noProof/>
                <w:lang/>
              </w:rPr>
              <w:t xml:space="preserve"> Delegation of authority without abdication of responsibility</w:t>
            </w:r>
            <w:r>
              <w:rPr>
                <w:noProof/>
                <w:webHidden/>
              </w:rPr>
              <w:tab/>
              <w:fldChar w:fldCharType="begin"/>
              <w:instrText xml:space="preserve"> PAGEREF _Toc225361115 \h </w:instrText>
              <w:fldChar w:fldCharType="separate"/>
              <w:t>4</w:t>
              <w:fldChar w:fldCharType="end"/>
            </w:r>
          </w:hyperlink>
        </w:p>
        <w:p w14:paraId="7B76AADB" w14:textId="44107542" w:rsidR="000E1771" w:rsidRDefault="000E1771">
          <w:pPr>
            <w:pStyle w:val="TOC2"/>
            <w:tabs>
              <w:tab w:val="right" w:leader="dot" w:pos="9016"/>
            </w:tabs>
            <w:rPr>
              <w:rFonts w:eastAsiaTheme="minorEastAsia"/>
              <w:noProof/>
              <w:lang/>
            </w:rPr>
          </w:pPr>
          <w:hyperlink w:anchor="_Toc225361116" w:history="1">
            <w:r>
              <w:rPr>
                <w:rStyle w:val="Hyperlink"/>
                <w:rFonts w:eastAsia="Times New Roman"/>
                <w:noProof/>
                <w:lang w:val="en-US"/>
              </w:rPr>
              <w:t>4.</w:t>
            </w:r>
            <w:r>
              <w:rPr>
                <w:rStyle w:val="Hyperlink"/>
                <w:rFonts w:eastAsia="Times New Roman"/>
                <w:noProof/>
                <w:lang/>
              </w:rPr>
              <w:t xml:space="preserve"> Human directors as the accountability anchors (and why ADAM is minimal on purpose)</w:t>
            </w:r>
            <w:r>
              <w:rPr>
                <w:noProof/>
                <w:webHidden/>
              </w:rPr>
              <w:tab/>
              <w:fldChar w:fldCharType="begin"/>
              <w:instrText xml:space="preserve"> PAGEREF _Toc225361116 \h </w:instrText>
              <w:fldChar w:fldCharType="separate"/>
              <w:t>4</w:t>
              <w:fldChar w:fldCharType="end"/>
            </w:r>
          </w:hyperlink>
        </w:p>
        <w:p w14:paraId="12858DFF" w14:textId="36E0518B" w:rsidR="000E1771" w:rsidRDefault="000E1771">
          <w:pPr>
            <w:pStyle w:val="TOC2"/>
            <w:tabs>
              <w:tab w:val="right" w:leader="dot" w:pos="9016"/>
            </w:tabs>
            <w:rPr>
              <w:rFonts w:eastAsiaTheme="minorEastAsia"/>
              <w:noProof/>
              <w:lang/>
            </w:rPr>
          </w:pPr>
          <w:hyperlink w:anchor="_Toc225361117" w:history="1">
            <w:r>
              <w:rPr>
                <w:rStyle w:val="Hyperlink"/>
                <w:rFonts w:eastAsia="Times New Roman"/>
                <w:noProof/>
                <w:lang/>
              </w:rPr>
              <w:t>5</w:t>
            </w:r>
            <w:r>
              <w:rPr>
                <w:rStyle w:val="Hyperlink"/>
                <w:rFonts w:eastAsia="Times New Roman"/>
                <w:noProof/>
                <w:lang w:val="en-US"/>
              </w:rPr>
              <w:t>.</w:t>
            </w:r>
            <w:r>
              <w:rPr>
                <w:rStyle w:val="Hyperlink"/>
                <w:rFonts w:eastAsia="Times New Roman"/>
                <w:noProof/>
                <w:lang/>
              </w:rPr>
              <w:t xml:space="preserve"> Meaningful oversight under risk-based regimes (EU, Council of Europe, and global interoperability)</w:t>
            </w:r>
            <w:r>
              <w:rPr>
                <w:noProof/>
                <w:webHidden/>
              </w:rPr>
              <w:tab/>
              <w:fldChar w:fldCharType="begin"/>
              <w:instrText xml:space="preserve"> PAGEREF _Toc225361117 \h </w:instrText>
              <w:fldChar w:fldCharType="separate"/>
              <w:t>4</w:t>
              <w:fldChar w:fldCharType="end"/>
            </w:r>
          </w:hyperlink>
        </w:p>
        <w:p w14:paraId="28A51B9F" w14:textId="17220366" w:rsidR="000E1771" w:rsidRDefault="000E1771">
          <w:pPr>
            <w:pStyle w:val="TOC2"/>
            <w:tabs>
              <w:tab w:val="right" w:leader="dot" w:pos="9016"/>
            </w:tabs>
            <w:rPr>
              <w:rFonts w:eastAsiaTheme="minorEastAsia"/>
              <w:noProof/>
              <w:lang/>
            </w:rPr>
          </w:pPr>
          <w:hyperlink w:anchor="_Toc225361118" w:history="1">
            <w:r>
              <w:rPr>
                <w:rStyle w:val="Hyperlink"/>
                <w:rFonts w:eastAsia="Times New Roman"/>
                <w:noProof/>
                <w:lang w:val="en-US"/>
              </w:rPr>
              <w:t xml:space="preserve">6. </w:t>
            </w:r>
            <w:r>
              <w:rPr>
                <w:rStyle w:val="Hyperlink"/>
                <w:rFonts w:eastAsia="Times New Roman"/>
                <w:noProof/>
                <w:lang/>
              </w:rPr>
              <w:t>Operational resilience, cyber governance, and board accountability (EU posture)</w:t>
            </w:r>
            <w:r>
              <w:rPr>
                <w:noProof/>
                <w:webHidden/>
              </w:rPr>
              <w:tab/>
              <w:fldChar w:fldCharType="begin"/>
              <w:instrText xml:space="preserve"> PAGEREF _Toc225361118 \h </w:instrText>
              <w:fldChar w:fldCharType="separate"/>
              <w:t>5</w:t>
              <w:fldChar w:fldCharType="end"/>
            </w:r>
          </w:hyperlink>
        </w:p>
        <w:p w14:paraId="61216E23" w14:textId="21D53518" w:rsidR="000E1771" w:rsidRDefault="000E1771">
          <w:pPr>
            <w:pStyle w:val="TOC2"/>
            <w:tabs>
              <w:tab w:val="right" w:leader="dot" w:pos="9016"/>
            </w:tabs>
            <w:rPr>
              <w:rFonts w:eastAsiaTheme="minorEastAsia"/>
              <w:noProof/>
              <w:lang/>
            </w:rPr>
          </w:pPr>
          <w:hyperlink w:anchor="_Toc225361119" w:history="1">
            <w:r>
              <w:rPr>
                <w:rStyle w:val="Hyperlink"/>
                <w:rFonts w:eastAsia="Times New Roman"/>
                <w:noProof/>
                <w:lang w:val="en-US"/>
              </w:rPr>
              <w:t>7.</w:t>
            </w:r>
            <w:r>
              <w:rPr>
                <w:rStyle w:val="Hyperlink"/>
                <w:rFonts w:eastAsia="Times New Roman"/>
                <w:noProof/>
                <w:lang/>
              </w:rPr>
              <w:t xml:space="preserve"> What ADAM explicitly does not claim</w:t>
            </w:r>
            <w:r>
              <w:rPr>
                <w:noProof/>
                <w:webHidden/>
              </w:rPr>
              <w:tab/>
              <w:fldChar w:fldCharType="begin"/>
              <w:instrText xml:space="preserve"> PAGEREF _Toc225361119 \h </w:instrText>
              <w:fldChar w:fldCharType="separate"/>
              <w:t>5</w:t>
              <w:fldChar w:fldCharType="end"/>
            </w:r>
          </w:hyperlink>
        </w:p>
        <w:p w14:paraId="5A8B2A93" w14:textId="6056773F" w:rsidR="000E1771" w:rsidRDefault="000E1771">
          <w:pPr>
            <w:pStyle w:val="TOC2"/>
            <w:tabs>
              <w:tab w:val="right" w:leader="dot" w:pos="9016"/>
            </w:tabs>
            <w:rPr>
              <w:rFonts w:eastAsiaTheme="minorEastAsia"/>
              <w:noProof/>
              <w:lang/>
            </w:rPr>
          </w:pPr>
          <w:hyperlink w:anchor="_Toc225361120" w:history="1">
            <w:r>
              <w:rPr>
                <w:rStyle w:val="Hyperlink"/>
                <w:rFonts w:eastAsia="Times New Roman"/>
                <w:noProof/>
                <w:lang w:val="en-US"/>
              </w:rPr>
              <w:t xml:space="preserve">8. </w:t>
            </w:r>
            <w:r>
              <w:rPr>
                <w:rStyle w:val="Hyperlink"/>
                <w:rFonts w:eastAsia="Times New Roman"/>
                <w:noProof/>
                <w:lang/>
              </w:rPr>
              <w:t xml:space="preserve"> The boundary in one sentence</w:t>
            </w:r>
            <w:r>
              <w:rPr>
                <w:noProof/>
                <w:webHidden/>
              </w:rPr>
              <w:tab/>
              <w:fldChar w:fldCharType="begin"/>
              <w:instrText xml:space="preserve"> PAGEREF _Toc225361120 \h </w:instrText>
              <w:fldChar w:fldCharType="separate"/>
              <w:t>5</w:t>
              <w:fldChar w:fldCharType="end"/>
            </w:r>
          </w:hyperlink>
        </w:p>
        <w:p w14:paraId="27ED3EE4" w14:textId="0629A928" w:rsidR="000E1771" w:rsidRDefault="000E1771">
          <w:pPr>
            <w:pStyle w:val="TOC1"/>
            <w:tabs>
              <w:tab w:val="right" w:leader="dot" w:pos="9016"/>
            </w:tabs>
            <w:rPr>
              <w:rFonts w:eastAsiaTheme="minorEastAsia"/>
              <w:noProof/>
              <w:lang/>
            </w:rPr>
          </w:pPr>
          <w:hyperlink w:anchor="_Toc225361121" w:history="1">
            <w:r>
              <w:rPr>
                <w:rStyle w:val="Hyperlink"/>
                <w:rFonts w:eastAsia="Times New Roman"/>
                <w:noProof/>
                <w:lang/>
              </w:rPr>
              <w:t xml:space="preserve">Section </w:t>
            </w:r>
            <w:r>
              <w:rPr>
                <w:rStyle w:val="Hyperlink"/>
                <w:rFonts w:eastAsia="Times New Roman"/>
                <w:noProof/>
                <w:lang w:val="en-US"/>
              </w:rPr>
              <w:t>II</w:t>
            </w:r>
            <w:r>
              <w:rPr>
                <w:rStyle w:val="Hyperlink"/>
                <w:rFonts w:eastAsia="Times New Roman"/>
                <w:noProof/>
                <w:lang/>
              </w:rPr>
              <w:t xml:space="preserve"> — Doctrine Conflict Arbitration Model (Stability, Innovation, and Rule-of-Law Coherence)</w:t>
            </w:r>
            <w:r>
              <w:rPr>
                <w:noProof/>
                <w:webHidden/>
              </w:rPr>
              <w:tab/>
              <w:fldChar w:fldCharType="begin"/>
              <w:instrText xml:space="preserve"> PAGEREF _Toc225361121 \h </w:instrText>
              <w:fldChar w:fldCharType="separate"/>
              <w:t>6</w:t>
              <w:fldChar w:fldCharType="end"/>
            </w:r>
          </w:hyperlink>
        </w:p>
        <w:p w14:paraId="53928379" w14:textId="6798EF91" w:rsidR="000E1771" w:rsidRDefault="000E1771">
          <w:pPr>
            <w:pStyle w:val="TOC2"/>
            <w:tabs>
              <w:tab w:val="right" w:leader="dot" w:pos="9016"/>
            </w:tabs>
            <w:rPr>
              <w:rFonts w:eastAsiaTheme="minorEastAsia"/>
              <w:noProof/>
              <w:lang/>
            </w:rPr>
          </w:pPr>
          <w:hyperlink w:anchor="_Toc225361122" w:history="1">
            <w:r>
              <w:rPr>
                <w:rStyle w:val="Hyperlink"/>
                <w:rFonts w:eastAsia="Times New Roman"/>
                <w:noProof/>
                <w:lang w:val="en-US"/>
              </w:rPr>
              <w:t>1.</w:t>
            </w:r>
            <w:r>
              <w:rPr>
                <w:rStyle w:val="Hyperlink"/>
                <w:rFonts w:eastAsia="Times New Roman"/>
                <w:noProof/>
                <w:lang/>
              </w:rPr>
              <w:t xml:space="preserve"> Why conflict arbitration is part of “autonomy,” not an exception to it</w:t>
            </w:r>
            <w:r>
              <w:rPr>
                <w:noProof/>
                <w:webHidden/>
              </w:rPr>
              <w:tab/>
              <w:fldChar w:fldCharType="begin"/>
              <w:instrText xml:space="preserve"> PAGEREF _Toc225361122 \h </w:instrText>
              <w:fldChar w:fldCharType="separate"/>
              <w:t>6</w:t>
              <w:fldChar w:fldCharType="end"/>
            </w:r>
          </w:hyperlink>
        </w:p>
        <w:p w14:paraId="36CAA036" w14:textId="2DEC0E0D" w:rsidR="000E1771" w:rsidRDefault="000E1771">
          <w:pPr>
            <w:pStyle w:val="TOC2"/>
            <w:tabs>
              <w:tab w:val="right" w:leader="dot" w:pos="9016"/>
            </w:tabs>
            <w:rPr>
              <w:rFonts w:eastAsiaTheme="minorEastAsia"/>
              <w:noProof/>
              <w:lang/>
            </w:rPr>
          </w:pPr>
          <w:hyperlink w:anchor="_Toc225361123" w:history="1">
            <w:r>
              <w:rPr>
                <w:rStyle w:val="Hyperlink"/>
                <w:rFonts w:eastAsia="Times New Roman"/>
                <w:noProof/>
                <w:lang w:val="en-US"/>
              </w:rPr>
              <w:t>2.</w:t>
            </w:r>
            <w:r>
              <w:rPr>
                <w:rStyle w:val="Hyperlink"/>
                <w:rFonts w:eastAsia="Times New Roman"/>
                <w:noProof/>
                <w:lang/>
              </w:rPr>
              <w:t xml:space="preserve"> Doctrine is authoritative, but not self-amending</w:t>
            </w:r>
            <w:r>
              <w:rPr>
                <w:noProof/>
                <w:webHidden/>
              </w:rPr>
              <w:tab/>
              <w:fldChar w:fldCharType="begin"/>
              <w:instrText xml:space="preserve"> PAGEREF _Toc225361123 \h </w:instrText>
              <w:fldChar w:fldCharType="separate"/>
              <w:t>6</w:t>
              <w:fldChar w:fldCharType="end"/>
            </w:r>
          </w:hyperlink>
        </w:p>
        <w:p w14:paraId="1670F6A2" w14:textId="667D96BE" w:rsidR="000E1771" w:rsidRDefault="000E1771">
          <w:pPr>
            <w:pStyle w:val="TOC2"/>
            <w:tabs>
              <w:tab w:val="right" w:leader="dot" w:pos="9016"/>
            </w:tabs>
            <w:rPr>
              <w:rFonts w:eastAsiaTheme="minorEastAsia"/>
              <w:noProof/>
              <w:lang/>
            </w:rPr>
          </w:pPr>
          <w:hyperlink w:anchor="_Toc225361124" w:history="1">
            <w:r>
              <w:rPr>
                <w:rStyle w:val="Hyperlink"/>
                <w:rFonts w:eastAsia="Times New Roman"/>
                <w:noProof/>
                <w:lang w:val="en-US"/>
              </w:rPr>
              <w:t>3.</w:t>
            </w:r>
            <w:r>
              <w:rPr>
                <w:rStyle w:val="Hyperlink"/>
                <w:rFonts w:eastAsia="Times New Roman"/>
                <w:noProof/>
                <w:lang/>
              </w:rPr>
              <w:t xml:space="preserve"> What counts as a doctrine conflict in ADAM</w:t>
            </w:r>
            <w:r>
              <w:rPr>
                <w:noProof/>
                <w:webHidden/>
              </w:rPr>
              <w:tab/>
              <w:fldChar w:fldCharType="begin"/>
              <w:instrText xml:space="preserve"> PAGEREF _Toc225361124 \h </w:instrText>
              <w:fldChar w:fldCharType="separate"/>
              <w:t>6</w:t>
              <w:fldChar w:fldCharType="end"/>
            </w:r>
          </w:hyperlink>
        </w:p>
        <w:p w14:paraId="06B2757A" w14:textId="3ADA04BA" w:rsidR="000E1771" w:rsidRDefault="000E1771">
          <w:pPr>
            <w:pStyle w:val="TOC2"/>
            <w:tabs>
              <w:tab w:val="right" w:leader="dot" w:pos="9016"/>
            </w:tabs>
            <w:rPr>
              <w:rFonts w:eastAsiaTheme="minorEastAsia"/>
              <w:noProof/>
              <w:lang/>
            </w:rPr>
          </w:pPr>
          <w:hyperlink w:anchor="_Toc225361125" w:history="1">
            <w:r>
              <w:rPr>
                <w:rStyle w:val="Hyperlink"/>
                <w:rFonts w:eastAsia="Times New Roman"/>
                <w:noProof/>
                <w:lang w:val="en-US"/>
              </w:rPr>
              <w:t>4.</w:t>
            </w:r>
            <w:r>
              <w:rPr>
                <w:rStyle w:val="Hyperlink"/>
                <w:rFonts w:eastAsia="Times New Roman"/>
                <w:noProof/>
                <w:lang/>
              </w:rPr>
              <w:t xml:space="preserve"> The arbitration rule: machines surface trade-offs; humans author the resolution</w:t>
            </w:r>
            <w:r>
              <w:rPr>
                <w:noProof/>
                <w:webHidden/>
              </w:rPr>
              <w:tab/>
              <w:fldChar w:fldCharType="begin"/>
              <w:instrText xml:space="preserve"> PAGEREF _Toc225361125 \h </w:instrText>
              <w:fldChar w:fldCharType="separate"/>
              <w:t>7</w:t>
              <w:fldChar w:fldCharType="end"/>
            </w:r>
          </w:hyperlink>
        </w:p>
        <w:p w14:paraId="07518DE2" w14:textId="294874C9" w:rsidR="000E1771" w:rsidRDefault="000E1771">
          <w:pPr>
            <w:pStyle w:val="TOC2"/>
            <w:tabs>
              <w:tab w:val="right" w:leader="dot" w:pos="9016"/>
            </w:tabs>
            <w:rPr>
              <w:rFonts w:eastAsiaTheme="minorEastAsia"/>
              <w:noProof/>
              <w:lang/>
            </w:rPr>
          </w:pPr>
          <w:hyperlink w:anchor="_Toc225361126" w:history="1">
            <w:r>
              <w:rPr>
                <w:rStyle w:val="Hyperlink"/>
                <w:rFonts w:eastAsia="Times New Roman"/>
                <w:noProof/>
                <w:lang w:val="en-US"/>
              </w:rPr>
              <w:t>5.</w:t>
            </w:r>
            <w:r>
              <w:rPr>
                <w:rStyle w:val="Hyperlink"/>
                <w:rFonts w:eastAsia="Times New Roman"/>
                <w:noProof/>
                <w:lang/>
              </w:rPr>
              <w:t xml:space="preserve"> How arbitration proceeds (and why auditors can rely on it)</w:t>
            </w:r>
            <w:r>
              <w:rPr>
                <w:noProof/>
                <w:webHidden/>
              </w:rPr>
              <w:tab/>
              <w:fldChar w:fldCharType="begin"/>
              <w:instrText xml:space="preserve"> PAGEREF _Toc225361126 \h </w:instrText>
              <w:fldChar w:fldCharType="separate"/>
              <w:t>7</w:t>
              <w:fldChar w:fldCharType="end"/>
            </w:r>
          </w:hyperlink>
        </w:p>
        <w:p w14:paraId="5EBCD24B" w14:textId="4BC550C0" w:rsidR="000E1771" w:rsidRDefault="000E1771">
          <w:pPr>
            <w:pStyle w:val="TOC2"/>
            <w:tabs>
              <w:tab w:val="right" w:leader="dot" w:pos="9016"/>
            </w:tabs>
            <w:rPr>
              <w:rFonts w:eastAsiaTheme="minorEastAsia"/>
              <w:noProof/>
              <w:lang/>
            </w:rPr>
          </w:pPr>
          <w:hyperlink w:anchor="_Toc225361127" w:history="1">
            <w:r>
              <w:rPr>
                <w:rStyle w:val="Hyperlink"/>
                <w:rFonts w:eastAsia="Times New Roman"/>
                <w:noProof/>
                <w:lang w:val="en-US"/>
              </w:rPr>
              <w:t xml:space="preserve">6. </w:t>
            </w:r>
            <w:r>
              <w:rPr>
                <w:rStyle w:val="Hyperlink"/>
                <w:rFonts w:eastAsia="Times New Roman"/>
                <w:noProof/>
                <w:lang/>
              </w:rPr>
              <w:t xml:space="preserve"> Why ADAM refuses silent resolution</w:t>
            </w:r>
            <w:r>
              <w:rPr>
                <w:noProof/>
                <w:webHidden/>
              </w:rPr>
              <w:tab/>
              <w:fldChar w:fldCharType="begin"/>
              <w:instrText xml:space="preserve"> PAGEREF _Toc225361127 \h </w:instrText>
              <w:fldChar w:fldCharType="separate"/>
              <w:t>7</w:t>
              <w:fldChar w:fldCharType="end"/>
            </w:r>
          </w:hyperlink>
        </w:p>
        <w:p w14:paraId="0CDC741F" w14:textId="03FCE152" w:rsidR="000E1771" w:rsidRDefault="000E1771">
          <w:pPr>
            <w:pStyle w:val="TOC2"/>
            <w:tabs>
              <w:tab w:val="right" w:leader="dot" w:pos="9016"/>
            </w:tabs>
            <w:rPr>
              <w:rFonts w:eastAsiaTheme="minorEastAsia"/>
              <w:noProof/>
              <w:lang/>
            </w:rPr>
          </w:pPr>
          <w:hyperlink w:anchor="_Toc225361128" w:history="1">
            <w:r>
              <w:rPr>
                <w:rStyle w:val="Hyperlink"/>
                <w:rFonts w:eastAsia="Times New Roman"/>
                <w:noProof/>
                <w:lang w:val="en-US"/>
              </w:rPr>
              <w:t>7.</w:t>
            </w:r>
            <w:r>
              <w:rPr>
                <w:rStyle w:val="Hyperlink"/>
                <w:rFonts w:eastAsia="Times New Roman"/>
                <w:noProof/>
                <w:lang/>
              </w:rPr>
              <w:t xml:space="preserve"> Innovation remains aggressive, but bounded by legitimacy</w:t>
            </w:r>
            <w:r>
              <w:rPr>
                <w:noProof/>
                <w:webHidden/>
              </w:rPr>
              <w:tab/>
              <w:fldChar w:fldCharType="begin"/>
              <w:instrText xml:space="preserve"> PAGEREF _Toc225361128 \h </w:instrText>
              <w:fldChar w:fldCharType="separate"/>
              <w:t>8</w:t>
              <w:fldChar w:fldCharType="end"/>
            </w:r>
          </w:hyperlink>
        </w:p>
        <w:p w14:paraId="005F79D2" w14:textId="5AE41A10" w:rsidR="000E1771" w:rsidRDefault="000E1771">
          <w:pPr>
            <w:pStyle w:val="TOC2"/>
            <w:tabs>
              <w:tab w:val="right" w:leader="dot" w:pos="9016"/>
            </w:tabs>
            <w:rPr>
              <w:rFonts w:eastAsiaTheme="minorEastAsia"/>
              <w:noProof/>
              <w:lang/>
            </w:rPr>
          </w:pPr>
          <w:hyperlink w:anchor="_Toc225361129" w:history="1">
            <w:r>
              <w:rPr>
                <w:rStyle w:val="Hyperlink"/>
                <w:rFonts w:eastAsia="Times New Roman"/>
                <w:noProof/>
                <w:lang w:val="en-US"/>
              </w:rPr>
              <w:t>8.</w:t>
            </w:r>
            <w:r>
              <w:rPr>
                <w:rStyle w:val="Hyperlink"/>
                <w:rFonts w:eastAsia="Times New Roman"/>
                <w:noProof/>
                <w:lang/>
              </w:rPr>
              <w:t xml:space="preserve"> What this model guarantees</w:t>
            </w:r>
            <w:r>
              <w:rPr>
                <w:noProof/>
                <w:webHidden/>
              </w:rPr>
              <w:tab/>
              <w:fldChar w:fldCharType="begin"/>
              <w:instrText xml:space="preserve"> PAGEREF _Toc225361129 \h </w:instrText>
              <w:fldChar w:fldCharType="separate"/>
              <w:t>8</w:t>
              <w:fldChar w:fldCharType="end"/>
            </w:r>
          </w:hyperlink>
        </w:p>
        <w:p w14:paraId="69D11560" w14:textId="61703601" w:rsidR="000E1771" w:rsidRDefault="000E1771">
          <w:pPr>
            <w:pStyle w:val="TOC3"/>
            <w:tabs>
              <w:tab w:val="right" w:leader="dot" w:pos="9016"/>
            </w:tabs>
            <w:rPr>
              <w:rFonts w:eastAsiaTheme="minorEastAsia"/>
              <w:noProof/>
              <w:lang/>
            </w:rPr>
          </w:pPr>
          <w:hyperlink w:anchor="_Toc225361130" w:history="1">
            <w:r>
              <w:rPr>
                <w:rStyle w:val="Hyperlink"/>
                <w:rFonts w:eastAsia="Times New Roman"/>
                <w:noProof/>
                <w:lang w:val="en-US"/>
              </w:rPr>
              <w:t>Legal Positioning:</w:t>
            </w:r>
            <w:r>
              <w:rPr>
                <w:noProof/>
                <w:webHidden/>
              </w:rPr>
              <w:tab/>
              <w:fldChar w:fldCharType="begin"/>
              <w:instrText xml:space="preserve"> PAGEREF _Toc225361130 \h </w:instrText>
              <w:fldChar w:fldCharType="separate"/>
              <w:t>8</w:t>
              <w:fldChar w:fldCharType="end"/>
            </w:r>
          </w:hyperlink>
        </w:p>
        <w:p w14:paraId="152DE489" w14:textId="03A2D614" w:rsidR="000E1771" w:rsidRDefault="000E1771">
          <w:pPr>
            <w:pStyle w:val="TOC1"/>
            <w:tabs>
              <w:tab w:val="right" w:leader="dot" w:pos="9016"/>
            </w:tabs>
            <w:rPr>
              <w:rFonts w:eastAsiaTheme="minorEastAsia"/>
              <w:noProof/>
              <w:lang/>
            </w:rPr>
          </w:pPr>
          <w:hyperlink w:anchor="_Toc225361131" w:history="1">
            <w:r>
              <w:rPr>
                <w:rStyle w:val="Hyperlink"/>
                <w:rFonts w:eastAsia="Times New Roman"/>
                <w:noProof/>
                <w:lang w:val="en-US"/>
              </w:rPr>
              <w:t xml:space="preserve">Section III - </w:t>
            </w:r>
            <w:r>
              <w:rPr>
                <w:rStyle w:val="Hyperlink"/>
                <w:rFonts w:eastAsia="Times New Roman"/>
                <w:noProof/>
                <w:lang/>
              </w:rPr>
              <w:t>ADAM Controls</w:t>
              <w:noBreakHyphen/>
              <w:t>to</w:t>
              <w:noBreakHyphen/>
              <w:t>Obligations Mapping</w:t>
            </w:r>
            <w:r>
              <w:rPr>
                <w:rStyle w:val="Hyperlink"/>
                <w:rFonts w:eastAsia="Times New Roman"/>
                <w:noProof/>
                <w:lang w:val="en-US"/>
              </w:rPr>
              <w:t>s</w:t>
            </w:r>
            <w:r>
              <w:rPr>
                <w:noProof/>
                <w:webHidden/>
              </w:rPr>
              <w:tab/>
              <w:fldChar w:fldCharType="begin"/>
              <w:instrText xml:space="preserve"> PAGEREF _Toc225361131 \h </w:instrText>
              <w:fldChar w:fldCharType="separate"/>
              <w:t>9</w:t>
              <w:fldChar w:fldCharType="end"/>
            </w:r>
          </w:hyperlink>
        </w:p>
        <w:p w14:paraId="1CA529C6" w14:textId="0154B85F" w:rsidR="000E1771" w:rsidRDefault="000E1771">
          <w:pPr>
            <w:pStyle w:val="TOC2"/>
            <w:tabs>
              <w:tab w:val="right" w:leader="dot" w:pos="9016"/>
            </w:tabs>
            <w:rPr>
              <w:rFonts w:eastAsiaTheme="minorEastAsia"/>
              <w:noProof/>
              <w:lang/>
            </w:rPr>
          </w:pPr>
          <w:hyperlink w:anchor="_Toc225361132" w:history="1">
            <w:r>
              <w:rPr>
                <w:rStyle w:val="Hyperlink"/>
                <w:rFonts w:eastAsia="Times New Roman"/>
                <w:noProof/>
                <w:lang w:val="en-US"/>
              </w:rPr>
              <w:t>1</w:t>
            </w:r>
            <w:r>
              <w:rPr>
                <w:rStyle w:val="Hyperlink"/>
                <w:rFonts w:eastAsia="Times New Roman"/>
                <w:noProof/>
                <w:lang/>
              </w:rPr>
              <w:t>. Cross</w:t>
              <w:noBreakHyphen/>
              <w:t>Framework Synthesis (What This Mapping Demonstrates)</w:t>
            </w:r>
            <w:r>
              <w:rPr>
                <w:noProof/>
                <w:webHidden/>
              </w:rPr>
              <w:tab/>
              <w:fldChar w:fldCharType="begin"/>
              <w:instrText xml:space="preserve"> PAGEREF _Toc225361132 \h </w:instrText>
              <w:fldChar w:fldCharType="separate"/>
              <w:t>9</w:t>
              <w:fldChar w:fldCharType="end"/>
            </w:r>
          </w:hyperlink>
        </w:p>
        <w:p w14:paraId="074047C8" w14:textId="532282F6" w:rsidR="000E1771" w:rsidRDefault="000E1771">
          <w:pPr>
            <w:pStyle w:val="TOC2"/>
            <w:tabs>
              <w:tab w:val="right" w:leader="dot" w:pos="9016"/>
            </w:tabs>
            <w:rPr>
              <w:rFonts w:eastAsiaTheme="minorEastAsia"/>
              <w:noProof/>
              <w:lang/>
            </w:rPr>
          </w:pPr>
          <w:hyperlink w:anchor="_Toc225361133" w:history="1">
            <w:r>
              <w:rPr>
                <w:rStyle w:val="Hyperlink"/>
                <w:rFonts w:eastAsia="Times New Roman"/>
                <w:noProof/>
                <w:lang w:val="en-US"/>
              </w:rPr>
              <w:t xml:space="preserve">1. </w:t>
            </w:r>
            <w:r>
              <w:rPr>
                <w:rStyle w:val="Hyperlink"/>
                <w:rFonts w:eastAsia="Times New Roman"/>
                <w:noProof/>
                <w:lang/>
              </w:rPr>
              <w:t>Legal Personality Boundary &amp; Accountable Autonomy</w:t>
            </w:r>
            <w:r>
              <w:rPr>
                <w:noProof/>
                <w:webHidden/>
              </w:rPr>
              <w:tab/>
              <w:fldChar w:fldCharType="begin"/>
              <w:instrText xml:space="preserve"> PAGEREF _Toc225361133 \h </w:instrText>
              <w:fldChar w:fldCharType="separate"/>
              <w:t>10</w:t>
              <w:fldChar w:fldCharType="end"/>
            </w:r>
          </w:hyperlink>
        </w:p>
        <w:p w14:paraId="480E75A2" w14:textId="1CFCCD68" w:rsidR="000E1771" w:rsidRDefault="000E1771">
          <w:pPr>
            <w:pStyle w:val="TOC2"/>
            <w:tabs>
              <w:tab w:val="right" w:leader="dot" w:pos="9016"/>
            </w:tabs>
            <w:rPr>
              <w:rFonts w:eastAsiaTheme="minorEastAsia"/>
              <w:noProof/>
              <w:lang/>
            </w:rPr>
          </w:pPr>
          <w:hyperlink w:anchor="_Toc225361134" w:history="1">
            <w:r>
              <w:rPr>
                <w:rStyle w:val="Hyperlink"/>
                <w:rFonts w:eastAsia="Times New Roman"/>
                <w:noProof/>
                <w:lang w:val="en-US"/>
              </w:rPr>
              <w:t xml:space="preserve">2. </w:t>
            </w:r>
            <w:r>
              <w:rPr>
                <w:rStyle w:val="Hyperlink"/>
                <w:rFonts w:eastAsia="Times New Roman"/>
                <w:noProof/>
                <w:lang/>
              </w:rPr>
              <w:t>Doctrine Conflict Arbitration (Stability, Innovation, and Rule</w:t>
              <w:noBreakHyphen/>
              <w:t>of</w:t>
              <w:noBreakHyphen/>
              <w:t>Law Coherence)</w:t>
            </w:r>
            <w:r>
              <w:rPr>
                <w:noProof/>
                <w:webHidden/>
              </w:rPr>
              <w:tab/>
              <w:fldChar w:fldCharType="begin"/>
              <w:instrText xml:space="preserve"> PAGEREF _Toc225361134 \h </w:instrText>
              <w:fldChar w:fldCharType="separate"/>
              <w:t>11</w:t>
              <w:fldChar w:fldCharType="end"/>
            </w:r>
          </w:hyperlink>
        </w:p>
        <w:p w14:paraId="6DC3A79C" w14:textId="03DA83AE" w:rsidR="000E1771" w:rsidRDefault="000E1771">
          <w:pPr>
            <w:pStyle w:val="TOC1"/>
            <w:tabs>
              <w:tab w:val="right" w:leader="dot" w:pos="9016"/>
            </w:tabs>
            <w:rPr>
              <w:rFonts w:eastAsiaTheme="minorEastAsia"/>
              <w:noProof/>
              <w:lang/>
            </w:rPr>
          </w:pPr>
          <w:hyperlink w:anchor="_Toc225361135" w:history="1">
            <w:r>
              <w:rPr>
                <w:rStyle w:val="Hyperlink"/>
                <w:noProof/>
                <w:lang w:val="en-US"/>
              </w:rPr>
              <w:t>Section IV – What ADAM IS NOT: Blatant Legal Interpretations</w:t>
            </w:r>
            <w:r>
              <w:rPr>
                <w:noProof/>
                <w:webHidden/>
              </w:rPr>
              <w:tab/>
              <w:fldChar w:fldCharType="begin"/>
              <w:instrText xml:space="preserve"> PAGEREF _Toc225361135 \h </w:instrText>
              <w:fldChar w:fldCharType="separate"/>
              <w:t>12</w:t>
              <w:fldChar w:fldCharType="end"/>
            </w:r>
          </w:hyperlink>
        </w:p>
        <w:p w14:paraId="0601EAC2" w14:textId="52951BD4" w:rsidR="000E1771" w:rsidRDefault="000E1771">
          <w:pPr>
            <w:pStyle w:val="TOC2"/>
            <w:tabs>
              <w:tab w:val="right" w:leader="dot" w:pos="9016"/>
            </w:tabs>
            <w:rPr>
              <w:rFonts w:eastAsiaTheme="minorEastAsia"/>
              <w:noProof/>
              <w:lang/>
            </w:rPr>
          </w:pPr>
          <w:hyperlink w:anchor="_Toc225361136" w:history="1">
            <w:r>
              <w:rPr>
                <w:rStyle w:val="Hyperlink"/>
                <w:rFonts w:eastAsia="Times New Roman"/>
                <w:noProof/>
                <w:lang/>
              </w:rPr>
              <w:t>(Clarifying Boundaries to Prevent Misinterpretation)</w:t>
            </w:r>
            <w:r>
              <w:rPr>
                <w:noProof/>
                <w:webHidden/>
              </w:rPr>
              <w:tab/>
              <w:fldChar w:fldCharType="begin"/>
              <w:instrText xml:space="preserve"> PAGEREF _Toc225361136 \h </w:instrText>
              <w:fldChar w:fldCharType="separate"/>
              <w:t>12</w:t>
              <w:fldChar w:fldCharType="end"/>
            </w:r>
          </w:hyperlink>
        </w:p>
        <w:p w14:paraId="1297DB49" w14:textId="2D45204C" w:rsidR="000E1771" w:rsidRDefault="000E1771">
          <w:pPr>
            <w:pStyle w:val="TOC2"/>
            <w:tabs>
              <w:tab w:val="right" w:leader="dot" w:pos="9016"/>
            </w:tabs>
            <w:rPr>
              <w:rFonts w:eastAsiaTheme="minorEastAsia"/>
              <w:noProof/>
              <w:lang/>
            </w:rPr>
          </w:pPr>
          <w:hyperlink w:anchor="_Toc225361137" w:history="1">
            <w:r>
              <w:rPr>
                <w:rStyle w:val="Hyperlink"/>
                <w:rFonts w:eastAsia="Times New Roman"/>
                <w:noProof/>
                <w:lang w:val="en-US"/>
              </w:rPr>
              <w:t xml:space="preserve">1. </w:t>
            </w:r>
            <w:r>
              <w:rPr>
                <w:rStyle w:val="Hyperlink"/>
                <w:rFonts w:eastAsia="Times New Roman"/>
                <w:noProof/>
                <w:lang/>
              </w:rPr>
              <w:t>ADAM is not a legal person</w:t>
            </w:r>
            <w:r>
              <w:rPr>
                <w:noProof/>
                <w:webHidden/>
              </w:rPr>
              <w:tab/>
              <w:fldChar w:fldCharType="begin"/>
              <w:instrText xml:space="preserve"> PAGEREF _Toc225361137 \h </w:instrText>
              <w:fldChar w:fldCharType="separate"/>
              <w:t>12</w:t>
              <w:fldChar w:fldCharType="end"/>
            </w:r>
          </w:hyperlink>
        </w:p>
        <w:p w14:paraId="66C44BF2" w14:textId="7EA424AC" w:rsidR="000E1771" w:rsidRDefault="000E1771">
          <w:pPr>
            <w:pStyle w:val="TOC2"/>
            <w:tabs>
              <w:tab w:val="right" w:leader="dot" w:pos="9016"/>
            </w:tabs>
            <w:rPr>
              <w:rFonts w:eastAsiaTheme="minorEastAsia"/>
              <w:noProof/>
              <w:lang/>
            </w:rPr>
          </w:pPr>
          <w:hyperlink w:anchor="_Toc225361138" w:history="1">
            <w:r>
              <w:rPr>
                <w:rStyle w:val="Hyperlink"/>
                <w:rFonts w:eastAsia="Times New Roman"/>
                <w:noProof/>
                <w:lang w:val="en-US"/>
              </w:rPr>
              <w:t xml:space="preserve">2. </w:t>
            </w:r>
            <w:r>
              <w:rPr>
                <w:rStyle w:val="Hyperlink"/>
                <w:rFonts w:eastAsia="Times New Roman"/>
                <w:noProof/>
                <w:lang/>
              </w:rPr>
              <w:t>ADAM is not an attempt to remove humans from accountability</w:t>
            </w:r>
            <w:r>
              <w:rPr>
                <w:noProof/>
                <w:webHidden/>
              </w:rPr>
              <w:tab/>
              <w:fldChar w:fldCharType="begin"/>
              <w:instrText xml:space="preserve"> PAGEREF _Toc225361138 \h </w:instrText>
              <w:fldChar w:fldCharType="separate"/>
              <w:t>12</w:t>
              <w:fldChar w:fldCharType="end"/>
            </w:r>
          </w:hyperlink>
        </w:p>
        <w:p w14:paraId="13A2673F" w14:textId="31F5F09E" w:rsidR="000E1771" w:rsidRDefault="000E1771">
          <w:pPr>
            <w:pStyle w:val="TOC2"/>
            <w:tabs>
              <w:tab w:val="right" w:leader="dot" w:pos="9016"/>
            </w:tabs>
            <w:rPr>
              <w:rFonts w:eastAsiaTheme="minorEastAsia"/>
              <w:noProof/>
              <w:lang/>
            </w:rPr>
          </w:pPr>
          <w:hyperlink w:anchor="_Toc225361139" w:history="1">
            <w:r>
              <w:rPr>
                <w:rStyle w:val="Hyperlink"/>
                <w:rFonts w:eastAsia="Times New Roman"/>
                <w:noProof/>
                <w:lang w:val="en-US"/>
              </w:rPr>
              <w:t xml:space="preserve">3. </w:t>
            </w:r>
            <w:r>
              <w:rPr>
                <w:rStyle w:val="Hyperlink"/>
                <w:rFonts w:eastAsia="Times New Roman"/>
                <w:noProof/>
                <w:lang/>
              </w:rPr>
              <w:t>ADAM is not “human</w:t>
              <w:noBreakHyphen/>
              <w:t>out</w:t>
              <w:noBreakHyphen/>
              <w:t>of</w:t>
              <w:noBreakHyphen/>
              <w:t>the</w:t>
              <w:noBreakHyphen/>
              <w:t>loop” in the regulatory sense</w:t>
            </w:r>
            <w:r>
              <w:rPr>
                <w:noProof/>
                <w:webHidden/>
              </w:rPr>
              <w:tab/>
              <w:fldChar w:fldCharType="begin"/>
              <w:instrText xml:space="preserve"> PAGEREF _Toc225361139 \h </w:instrText>
              <w:fldChar w:fldCharType="separate"/>
              <w:t>12</w:t>
              <w:fldChar w:fldCharType="end"/>
            </w:r>
          </w:hyperlink>
        </w:p>
        <w:p w14:paraId="585F97AE" w14:textId="3F2FF686" w:rsidR="000E1771" w:rsidRDefault="000E1771">
          <w:pPr>
            <w:pStyle w:val="TOC2"/>
            <w:tabs>
              <w:tab w:val="right" w:leader="dot" w:pos="9016"/>
            </w:tabs>
            <w:rPr>
              <w:rFonts w:eastAsiaTheme="minorEastAsia"/>
              <w:noProof/>
              <w:lang/>
            </w:rPr>
          </w:pPr>
          <w:hyperlink w:anchor="_Toc225361140" w:history="1">
            <w:r>
              <w:rPr>
                <w:rStyle w:val="Hyperlink"/>
                <w:rFonts w:eastAsia="Times New Roman"/>
                <w:noProof/>
                <w:lang w:val="en-US"/>
              </w:rPr>
              <w:t xml:space="preserve">4. </w:t>
            </w:r>
            <w:r>
              <w:rPr>
                <w:rStyle w:val="Hyperlink"/>
                <w:rFonts w:eastAsia="Times New Roman"/>
                <w:noProof/>
                <w:lang/>
              </w:rPr>
              <w:t>ADAM is not a general</w:t>
              <w:noBreakHyphen/>
              <w:t>purpose agent framework or chatbot architecture</w:t>
            </w:r>
            <w:r>
              <w:rPr>
                <w:noProof/>
                <w:webHidden/>
              </w:rPr>
              <w:tab/>
              <w:fldChar w:fldCharType="begin"/>
              <w:instrText xml:space="preserve"> PAGEREF _Toc225361140 \h </w:instrText>
              <w:fldChar w:fldCharType="separate"/>
              <w:t>13</w:t>
              <w:fldChar w:fldCharType="end"/>
            </w:r>
          </w:hyperlink>
        </w:p>
        <w:p w14:paraId="664AC61A" w14:textId="670DAEDE" w:rsidR="000E1771" w:rsidRDefault="000E1771">
          <w:pPr>
            <w:pStyle w:val="TOC2"/>
            <w:tabs>
              <w:tab w:val="right" w:leader="dot" w:pos="9016"/>
            </w:tabs>
            <w:rPr>
              <w:rFonts w:eastAsiaTheme="minorEastAsia"/>
              <w:noProof/>
              <w:lang/>
            </w:rPr>
          </w:pPr>
          <w:hyperlink w:anchor="_Toc225361141" w:history="1">
            <w:r>
              <w:rPr>
                <w:rStyle w:val="Hyperlink"/>
                <w:rFonts w:eastAsia="Times New Roman"/>
                <w:noProof/>
                <w:lang w:val="en-US"/>
              </w:rPr>
              <w:t xml:space="preserve">5. </w:t>
            </w:r>
            <w:r>
              <w:rPr>
                <w:rStyle w:val="Hyperlink"/>
                <w:rFonts w:eastAsia="Times New Roman"/>
                <w:noProof/>
                <w:lang/>
              </w:rPr>
              <w:t>ADAM is not a DAO, nor “DAO governance with better language”</w:t>
            </w:r>
            <w:r>
              <w:rPr>
                <w:noProof/>
                <w:webHidden/>
              </w:rPr>
              <w:tab/>
              <w:fldChar w:fldCharType="begin"/>
              <w:instrText xml:space="preserve"> PAGEREF _Toc225361141 \h </w:instrText>
              <w:fldChar w:fldCharType="separate"/>
              <w:t>13</w:t>
              <w:fldChar w:fldCharType="end"/>
            </w:r>
          </w:hyperlink>
        </w:p>
        <w:p w14:paraId="5D9EAFC1" w14:textId="2C64E498" w:rsidR="000E1771" w:rsidRDefault="000E1771">
          <w:pPr>
            <w:pStyle w:val="TOC2"/>
            <w:tabs>
              <w:tab w:val="right" w:leader="dot" w:pos="9016"/>
            </w:tabs>
            <w:rPr>
              <w:rFonts w:eastAsiaTheme="minorEastAsia"/>
              <w:noProof/>
              <w:lang/>
            </w:rPr>
          </w:pPr>
          <w:hyperlink w:anchor="_Toc225361142" w:history="1">
            <w:r>
              <w:rPr>
                <w:rStyle w:val="Hyperlink"/>
                <w:rFonts w:eastAsia="Times New Roman"/>
                <w:noProof/>
                <w:lang w:val="en-US"/>
              </w:rPr>
              <w:t xml:space="preserve">6. </w:t>
            </w:r>
            <w:r>
              <w:rPr>
                <w:rStyle w:val="Hyperlink"/>
                <w:rFonts w:eastAsia="Times New Roman"/>
                <w:noProof/>
                <w:lang/>
              </w:rPr>
              <w:t>ADAM is not a promise of perfect prediction or omniscient control</w:t>
            </w:r>
            <w:r>
              <w:rPr>
                <w:noProof/>
                <w:webHidden/>
              </w:rPr>
              <w:tab/>
              <w:fldChar w:fldCharType="begin"/>
              <w:instrText xml:space="preserve"> PAGEREF _Toc225361142 \h </w:instrText>
              <w:fldChar w:fldCharType="separate"/>
              <w:t>13</w:t>
              <w:fldChar w:fldCharType="end"/>
            </w:r>
          </w:hyperlink>
        </w:p>
        <w:p w14:paraId="2BC976ED" w14:textId="34A54FCB" w:rsidR="000E1771" w:rsidRDefault="000E1771">
          <w:pPr>
            <w:pStyle w:val="TOC2"/>
            <w:tabs>
              <w:tab w:val="right" w:leader="dot" w:pos="9016"/>
            </w:tabs>
            <w:rPr>
              <w:rFonts w:eastAsiaTheme="minorEastAsia"/>
              <w:noProof/>
              <w:lang/>
            </w:rPr>
          </w:pPr>
          <w:hyperlink w:anchor="_Toc225361143" w:history="1">
            <w:r>
              <w:rPr>
                <w:rStyle w:val="Hyperlink"/>
                <w:rFonts w:eastAsia="Times New Roman"/>
                <w:noProof/>
                <w:lang w:val="en-US"/>
              </w:rPr>
              <w:t xml:space="preserve">7. </w:t>
            </w:r>
            <w:r>
              <w:rPr>
                <w:rStyle w:val="Hyperlink"/>
                <w:rFonts w:eastAsia="Times New Roman"/>
                <w:noProof/>
                <w:lang/>
              </w:rPr>
              <w:t>ADAM is not self</w:t>
              <w:noBreakHyphen/>
              <w:t>governing in the philosophical sense</w:t>
            </w:r>
            <w:r>
              <w:rPr>
                <w:noProof/>
                <w:webHidden/>
              </w:rPr>
              <w:tab/>
              <w:fldChar w:fldCharType="begin"/>
              <w:instrText xml:space="preserve"> PAGEREF _Toc225361143 \h </w:instrText>
              <w:fldChar w:fldCharType="separate"/>
              <w:t>13</w:t>
              <w:fldChar w:fldCharType="end"/>
            </w:r>
          </w:hyperlink>
        </w:p>
        <w:p w14:paraId="6AE42694" w14:textId="3887E08B" w:rsidR="000E1771" w:rsidRDefault="000E1771">
          <w:pPr>
            <w:pStyle w:val="TOC2"/>
            <w:tabs>
              <w:tab w:val="right" w:leader="dot" w:pos="9016"/>
            </w:tabs>
            <w:rPr>
              <w:rFonts w:eastAsiaTheme="minorEastAsia"/>
              <w:noProof/>
              <w:lang/>
            </w:rPr>
          </w:pPr>
          <w:hyperlink w:anchor="_Toc225361144" w:history="1">
            <w:r>
              <w:rPr>
                <w:rStyle w:val="Hyperlink"/>
                <w:rFonts w:eastAsia="Times New Roman"/>
                <w:noProof/>
                <w:lang w:val="en-US"/>
              </w:rPr>
              <w:t xml:space="preserve">8. </w:t>
            </w:r>
            <w:r>
              <w:rPr>
                <w:rStyle w:val="Hyperlink"/>
                <w:rFonts w:eastAsia="Times New Roman"/>
                <w:noProof/>
                <w:lang/>
              </w:rPr>
              <w:t>ADAM is not a way to bypass regulation, compliance, or audit</w:t>
            </w:r>
            <w:r>
              <w:rPr>
                <w:noProof/>
                <w:webHidden/>
              </w:rPr>
              <w:tab/>
              <w:fldChar w:fldCharType="begin"/>
              <w:instrText xml:space="preserve"> PAGEREF _Toc225361144 \h </w:instrText>
              <w:fldChar w:fldCharType="separate"/>
              <w:t>14</w:t>
              <w:fldChar w:fldCharType="end"/>
            </w:r>
          </w:hyperlink>
        </w:p>
        <w:p w14:paraId="4DA8FCB7" w14:textId="491C0C35" w:rsidR="000E1771" w:rsidRDefault="000E1771">
          <w:pPr>
            <w:pStyle w:val="TOC2"/>
            <w:tabs>
              <w:tab w:val="right" w:leader="dot" w:pos="9016"/>
            </w:tabs>
            <w:rPr>
              <w:rFonts w:eastAsiaTheme="minorEastAsia"/>
              <w:noProof/>
              <w:lang/>
            </w:rPr>
          </w:pPr>
          <w:hyperlink w:anchor="_Toc225361145" w:history="1">
            <w:r>
              <w:rPr>
                <w:rStyle w:val="Hyperlink"/>
                <w:rFonts w:eastAsia="Times New Roman"/>
                <w:noProof/>
                <w:lang w:val="en-US"/>
              </w:rPr>
              <w:t xml:space="preserve">9. </w:t>
            </w:r>
            <w:r>
              <w:rPr>
                <w:rStyle w:val="Hyperlink"/>
                <w:rFonts w:eastAsia="Times New Roman"/>
                <w:noProof/>
                <w:lang/>
              </w:rPr>
              <w:t>ADAM is not a claim that “full autonomy” is always appropriate</w:t>
            </w:r>
            <w:r>
              <w:rPr>
                <w:noProof/>
                <w:webHidden/>
              </w:rPr>
              <w:tab/>
              <w:fldChar w:fldCharType="begin"/>
              <w:instrText xml:space="preserve"> PAGEREF _Toc225361145 \h </w:instrText>
              <w:fldChar w:fldCharType="separate"/>
              <w:t>14</w:t>
              <w:fldChar w:fldCharType="end"/>
            </w:r>
          </w:hyperlink>
        </w:p>
        <w:p w14:paraId="66F3E98C" w14:textId="17FD9141" w:rsidR="000E1771" w:rsidRDefault="000E1771">
          <w:pPr>
            <w:pStyle w:val="TOC2"/>
            <w:tabs>
              <w:tab w:val="right" w:leader="dot" w:pos="9016"/>
            </w:tabs>
            <w:rPr>
              <w:rFonts w:eastAsiaTheme="minorEastAsia"/>
              <w:noProof/>
              <w:lang/>
            </w:rPr>
          </w:pPr>
          <w:hyperlink w:anchor="_Toc225361146" w:history="1">
            <w:r>
              <w:rPr>
                <w:rStyle w:val="Hyperlink"/>
                <w:rFonts w:eastAsia="Times New Roman"/>
                <w:noProof/>
                <w:lang w:val="en-US"/>
              </w:rPr>
              <w:t xml:space="preserve">10. </w:t>
            </w:r>
            <w:r>
              <w:rPr>
                <w:rStyle w:val="Hyperlink"/>
                <w:rFonts w:eastAsia="Times New Roman"/>
                <w:noProof/>
                <w:lang/>
              </w:rPr>
              <w:t>Why these “nots” matter</w:t>
            </w:r>
            <w:r>
              <w:rPr>
                <w:noProof/>
                <w:webHidden/>
              </w:rPr>
              <w:tab/>
              <w:fldChar w:fldCharType="begin"/>
              <w:instrText xml:space="preserve"> PAGEREF _Toc225361146 \h </w:instrText>
              <w:fldChar w:fldCharType="separate"/>
              <w:t>14</w:t>
              <w:fldChar w:fldCharType="end"/>
            </w:r>
          </w:hyperlink>
        </w:p>
        <w:p w14:paraId="6216AE92" w14:textId="36537D5F" w:rsidR="00DB4E4D" w:rsidRDefault="00DB4E4D">
          <w:r>
            <w:rPr>
              <w:b/>
              <w:bCs/>
              <w:noProof/>
            </w:rPr>
            <w:fldChar w:fldCharType="end"/>
          </w:r>
        </w:p>
      </w:sdtContent>
    </w:sdt>
    <w:p w14:paraId="4ABE8E4E" w14:textId="78127DAA" w:rsidR="00EB3336" w:rsidRPr="00EB3336" w:rsidRDefault="00EB3336" w:rsidP="00B6177E">
      <w:pPr>
        <w:pStyle w:val="Heading1"/>
        <w:rPr>
          <w:rFonts w:eastAsia="Times New Roman"/>
          <w:lang/>
        </w:rPr>
      </w:pPr>
      <w:bookmarkStart w:id="1" w:name="_Toc225361112"/>
      <w:r>
        <w:rPr>
          <w:rFonts w:eastAsia="Times New Roman"/>
          <w:lang/>
        </w:rPr>
        <w:t xml:space="preserve">Section </w:t>
      </w:r>
      <w:r>
        <w:rPr>
          <w:rFonts w:eastAsia="Times New Roman"/>
          <w:lang w:val="en-US"/>
        </w:rPr>
        <w:t>I</w:t>
      </w:r>
      <w:r>
        <w:rPr>
          <w:rFonts w:eastAsia="Times New Roman"/>
          <w:lang/>
        </w:rPr>
        <w:t xml:space="preserve"> — Legal Personality Boundary and Accountable Autonomy</w:t>
      </w:r>
      <w:bookmarkEnd w:id="1"/>
    </w:p>
    <w:p w14:paraId="0B661AA2" w14:textId="0A1604B6" w:rsidR="00EB3336" w:rsidRPr="00EB3336" w:rsidRDefault="00B6177E" w:rsidP="00B6177E">
      <w:pPr>
        <w:pStyle w:val="Heading2"/>
        <w:rPr>
          <w:rFonts w:eastAsia="Times New Roman"/>
          <w:lang/>
        </w:rPr>
      </w:pPr>
      <w:bookmarkStart w:id="2" w:name="_Toc225361113"/>
      <w:r>
        <w:rPr>
          <w:rFonts w:eastAsia="Times New Roman"/>
          <w:lang w:val="en-US"/>
        </w:rPr>
        <w:t>1</w:t>
      </w:r>
      <w:r>
        <w:rPr>
          <w:rFonts w:eastAsia="Times New Roman"/>
          <w:lang/>
        </w:rPr>
        <w:t>. Why this boundary exists</w:t>
      </w:r>
      <w:bookmarkEnd w:id="2"/>
    </w:p>
    <w:p w14:paraId="67187996" w14:textId="5212CCF4"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is written as a constitutional operating model for autonomous enterprise execution, but it is not written as a theory of legal personhood. The architecture and doctrine assume a world in which law remains human-facing and entity-facing: duties attach to natural persons and to legal persons, not to software. This section therefore defines a Legal Personality Boundary: a clean separation between autonomous execution inside ADAM and external legal responsibility as recognised by law, regulators, boards, auditors, and courts. </w:t>
      </w:r>
    </w:p>
    <w:p w14:paraId="30FD6D4C"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objective is practical. If this boundary is implicit, accountability becomes contestable after an incident. If it is explicit, ADAM can operate at high autonomy while remaining legible to governance and enforcement regimes that require identifiable responsible parties, documented controls, and demonstrable oversight.</w:t>
      </w:r>
    </w:p>
    <w:p w14:paraId="0556D57A" w14:textId="3EF0E886" w:rsidR="00EB3336" w:rsidRPr="00EB3336" w:rsidRDefault="00EB3336" w:rsidP="00B6177E">
      <w:pPr>
        <w:pStyle w:val="Heading2"/>
        <w:rPr>
          <w:rFonts w:eastAsia="Times New Roman"/>
          <w:lang/>
        </w:rPr>
      </w:pPr>
      <w:bookmarkStart w:id="3" w:name="_Toc225361114"/>
      <w:r>
        <w:rPr>
          <w:rFonts w:eastAsia="Times New Roman"/>
          <w:lang/>
        </w:rPr>
        <w:t>2</w:t>
      </w:r>
      <w:r>
        <w:rPr>
          <w:rFonts w:eastAsia="Times New Roman"/>
          <w:lang w:val="en-US"/>
        </w:rPr>
        <w:t>.</w:t>
      </w:r>
      <w:r>
        <w:rPr>
          <w:rFonts w:eastAsia="Times New Roman"/>
          <w:lang/>
        </w:rPr>
        <w:t xml:space="preserve"> ADAM’s status: not a legal actor</w:t>
      </w:r>
      <w:bookmarkEnd w:id="3"/>
    </w:p>
    <w:p w14:paraId="6F486D21" w14:textId="6FA78E96"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has no independent legal personality. It does not own assets, it does not bear liability in its own name, and it is not the holder of fiduciary duties. In legal terms, ADAM is an internal operating capability—an execution and control system used by an organisation—rather than a subject of rights and obligations. This is not a philosophical stance; it is the default assumption necessary for deployability under existing governance models. </w:t>
      </w:r>
    </w:p>
    <w:p w14:paraId="488F7397" w14:textId="2793D146"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Accordingly, any externally consequential act performed through ADAM (for example, spending, contracting, regulated disclosures, or other actions that create obligations or exposures) is performed on behalf of an identified legal person, under an internal delegation of authority, and subject to documented constraints. The doctrine is consistent across the ADAM texts: humans govern intent and constraints; ADAM executes within those constraints; evidence is captured so responsibility does not depend on narrative reconstruction. </w:t>
      </w:r>
    </w:p>
    <w:p w14:paraId="42523136" w14:textId="0C3D05D6" w:rsidR="00EB3336" w:rsidRPr="00EB3336" w:rsidRDefault="00B6177E" w:rsidP="00B6177E">
      <w:pPr>
        <w:pStyle w:val="Heading3"/>
        <w:rPr>
          <w:rFonts w:eastAsia="Times New Roman"/>
          <w:lang/>
        </w:rPr>
      </w:pPr>
      <w:bookmarkStart w:id="4" w:name="_Toc225361115"/>
      <w:r>
        <w:rPr>
          <w:rFonts w:eastAsia="Times New Roman"/>
          <w:lang w:val="en-US"/>
        </w:rPr>
        <w:lastRenderedPageBreak/>
        <w:t>3.</w:t>
      </w:r>
      <w:r>
        <w:rPr>
          <w:rFonts w:eastAsia="Times New Roman"/>
          <w:lang/>
        </w:rPr>
        <w:t xml:space="preserve"> Delegation of authority without abdication of responsibility</w:t>
      </w:r>
      <w:bookmarkEnd w:id="4"/>
    </w:p>
    <w:p w14:paraId="6636B7C9" w14:textId="5DA2E2FC"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ADAM’s autonomy is based on delegated authority, not abdication. The system is designed so that delegation is explicit, scoped, revocable, and auditable. It is explicit because it must be defined as configuration and policy rather than assumed behaviour; it is scoped because autonomy is bounded by domain, risk, and thresholds; it is revocable because autonomy must be throttleable under stress; and it is auditable because the legitimacy of autonomy depends on being provable after the fact. </w:t>
      </w:r>
    </w:p>
    <w:p w14:paraId="5C358BAF" w14:textId="2B32DE48"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This aligns with the direction of contemporary governance practice for AI systems: organisations are expected to define responsibilities and controls across the lifecycle, rather than relying on informal accountability. ISO/IEC 42001 frames this as an AI management system with defined responsibilities, risk management, monitoring, and accountability. The OECD AI Principles similarly place accountability and responsible stewardship on the human and organisational actors across the AI lifecycle. </w:t>
      </w:r>
    </w:p>
    <w:p w14:paraId="0D3CA779" w14:textId="6A06EC86" w:rsidR="00EB3336" w:rsidRPr="00EB3336" w:rsidRDefault="00B6177E" w:rsidP="00B6177E">
      <w:pPr>
        <w:pStyle w:val="Heading2"/>
        <w:rPr>
          <w:rFonts w:eastAsia="Times New Roman"/>
          <w:lang/>
        </w:rPr>
      </w:pPr>
      <w:bookmarkStart w:id="5" w:name="_Toc225361116"/>
      <w:r>
        <w:rPr>
          <w:rFonts w:eastAsia="Times New Roman"/>
          <w:lang w:val="en-US"/>
        </w:rPr>
        <w:t>4.</w:t>
      </w:r>
      <w:r>
        <w:rPr>
          <w:rFonts w:eastAsia="Times New Roman"/>
          <w:lang/>
        </w:rPr>
        <w:t xml:space="preserve"> Human directors as the accountability anchors (and why ADAM is minimal on purpose)</w:t>
      </w:r>
      <w:bookmarkEnd w:id="5"/>
    </w:p>
    <w:p w14:paraId="6AF179D6" w14:textId="5FE55327"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ADAM’s Governance Charter defines a directorship model in which a small set of accountable humans hold governance authority over intent, constraints, and escalation, while not managing workflows or day-to-day execution. This is not a stylistic choice; it is a legal and audit design choice. It creates a stable mapping between external accountability surfaces (finance, legal, risk, market posture, security/resilience) and internal autonomous execution surfaces. </w:t>
      </w:r>
    </w:p>
    <w:p w14:paraId="4CDBFF60" w14:textId="40A3F05A"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The org chart document is consistent with this: human interaction is channelled through formal interface agents (Intent Interpretation, Trust Gateway, ExplainBack), and domain governors (Super Agents) constrain execution without becoming human-controlled workflow management.</w:t>
      </w:r>
    </w:p>
    <w:p w14:paraId="2EE0F0CD" w14:textId="1F2277B5"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For audit interpretation, the “director of record” concept should be read as a control that assigns governance responsibility to identifiable natural persons, and pairs it with reconstructable evidence chains for actions taken. </w:t>
      </w:r>
    </w:p>
    <w:p w14:paraId="0682A3AB" w14:textId="6E5DF20C" w:rsidR="00EB3336" w:rsidRPr="00EB3336" w:rsidRDefault="00EB3336" w:rsidP="00B6177E">
      <w:pPr>
        <w:pStyle w:val="Heading2"/>
        <w:rPr>
          <w:rFonts w:eastAsia="Times New Roman"/>
          <w:lang/>
        </w:rPr>
      </w:pPr>
      <w:bookmarkStart w:id="6" w:name="_Toc225361117"/>
      <w:r>
        <w:rPr>
          <w:rFonts w:eastAsia="Times New Roman"/>
          <w:lang/>
        </w:rPr>
        <w:t>5</w:t>
      </w:r>
      <w:r>
        <w:rPr>
          <w:rFonts w:eastAsia="Times New Roman"/>
          <w:lang w:val="en-US"/>
        </w:rPr>
        <w:t>.</w:t>
      </w:r>
      <w:r>
        <w:rPr>
          <w:rFonts w:eastAsia="Times New Roman"/>
          <w:lang/>
        </w:rPr>
        <w:t xml:space="preserve"> Meaningful oversight under risk-based regimes (EU, Council of Europe, and global interoperability)</w:t>
      </w:r>
      <w:bookmarkEnd w:id="6"/>
    </w:p>
    <w:p w14:paraId="5CCD9DA1"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phrase “full autonomy” in ADAM is an operational description, not a claim that the organisation can ignore oversight requirements. In risk-based regulatory regimes, oversight is not synonymous with manual operation. Oversight is typically interpreted as competent human responsibility, organisational measures, monitoring, and the ability to intervene or suspend use where risk emerges.</w:t>
      </w:r>
    </w:p>
    <w:p w14:paraId="57250067" w14:textId="6C57595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Under the EU AI Act, deployers of high-risk AI systems must implement technical and organisational measures to use systems according to instructions, assign human oversight to </w:t>
        <w:lastRenderedPageBreak/>
        <w:t xml:space="preserve">competent persons with authority and support, monitor operation, and suspend use when they have reason to believe risk may arise. In parallel, the Council of Europe’s Framework Convention on AI establishes a baseline expectation that AI activities across the lifecycle remain consistent with human rights, democracy, and the rule of law, and that Parties adopt appropriate measures proportionate to severity and probability of adverse impacts. </w:t>
      </w:r>
    </w:p>
    <w:p w14:paraId="418D643B" w14:textId="6F0F21C2"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ADAM’s design intention can meet these expectations when implemented as follows: human directors provide the accountable oversight function; the Trust Gateway and escalation orchestrator represent the intervention and suspension capability; and the Evidence/Audit plane supports the ability to demonstrate that oversight was operational rather than ceremonial. The doctrine’s insistence that humans are not in the execution loop is therefore not a refusal of oversight; it is a refusal of micromanagement, coupled with a formal mechanism for human authority at the points where law and risk require it.</w:t>
      </w:r>
    </w:p>
    <w:p w14:paraId="684B0C17" w14:textId="4BE4D796" w:rsidR="00EB3336" w:rsidRPr="00EB3336" w:rsidRDefault="00B6177E" w:rsidP="00B6177E">
      <w:pPr>
        <w:pStyle w:val="Heading2"/>
        <w:rPr>
          <w:rFonts w:eastAsia="Times New Roman"/>
          <w:lang/>
        </w:rPr>
      </w:pPr>
      <w:bookmarkStart w:id="7" w:name="_Toc225361118"/>
      <w:r>
        <w:rPr>
          <w:rFonts w:eastAsia="Times New Roman"/>
          <w:lang w:val="en-US"/>
        </w:rPr>
        <w:t xml:space="preserve">6. </w:t>
      </w:r>
      <w:r>
        <w:rPr>
          <w:rFonts w:eastAsia="Times New Roman"/>
          <w:lang/>
        </w:rPr>
        <w:t>Operational resilience, cyber governance, and board accountability (EU posture)</w:t>
      </w:r>
      <w:bookmarkEnd w:id="7"/>
    </w:p>
    <w:p w14:paraId="221BB456" w14:textId="5D3E6A4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Because the authors are based in the Netherlands and ADAM is written with European sovereignty signals in view, it is appropriate to treat cybersecurity governance and operational resilience as board-level obligations rather than engineering hygiene. The NIS2 Directive positions cybersecurity risk management, reporting requirements, and management accountability as part of a unified legal framework for critical sectors, bringing these responsibilities explicitly into the governance layer. For financial entities, DORA defines a governance and ICT risk management framework that is comprehensive, documented, reviewable, and auditable. </w:t>
      </w:r>
    </w:p>
    <w:p w14:paraId="1BE202E3" w14:textId="6692C79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is already architected in the same direction: security and resilience are treated as system properties, evidence is produced continuously, and autonomy is throttleable. This is precisely the direction auditors look for: controls that exist as operating capability, not as policy binders. </w:t>
      </w:r>
    </w:p>
    <w:p w14:paraId="4895886B" w14:textId="6FF231D8" w:rsidR="00EB3336" w:rsidRPr="00EB3336" w:rsidRDefault="00B6177E" w:rsidP="00B6177E">
      <w:pPr>
        <w:pStyle w:val="Heading2"/>
        <w:rPr>
          <w:rFonts w:eastAsia="Times New Roman"/>
          <w:lang/>
        </w:rPr>
      </w:pPr>
      <w:bookmarkStart w:id="8" w:name="_Toc225361119"/>
      <w:r>
        <w:rPr>
          <w:rFonts w:eastAsia="Times New Roman"/>
          <w:lang w:val="en-US"/>
        </w:rPr>
        <w:t>7.</w:t>
      </w:r>
      <w:r>
        <w:rPr>
          <w:rFonts w:eastAsia="Times New Roman"/>
          <w:lang/>
        </w:rPr>
        <w:t xml:space="preserve"> What ADAM explicitly does not claim</w:t>
      </w:r>
      <w:bookmarkEnd w:id="8"/>
    </w:p>
    <w:p w14:paraId="2B9F556D"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does not claim that an autonomous system can become a legal person by architecture. It does not claim that liability can be shifted to a machine. It does not claim immunity from sectoral regulation. It does not claim that “full autonomy” eliminates the need for oversight obligations where law requires them. It claims something narrower and more defensible: autonomy can be made operationally real while preserving accountability, oversight, and proof as system outputs.</w:t>
      </w:r>
    </w:p>
    <w:p w14:paraId="1A9D074C" w14:textId="39BA9614" w:rsidR="00EB3336" w:rsidRPr="00EB3336" w:rsidRDefault="00B6177E" w:rsidP="00B6177E">
      <w:pPr>
        <w:pStyle w:val="Heading2"/>
        <w:rPr>
          <w:rFonts w:eastAsia="Times New Roman"/>
          <w:lang/>
        </w:rPr>
      </w:pPr>
      <w:bookmarkStart w:id="9" w:name="_Toc225361120"/>
      <w:r>
        <w:rPr>
          <w:rFonts w:eastAsia="Times New Roman"/>
          <w:lang w:val="en-US"/>
        </w:rPr>
        <w:t xml:space="preserve">8. </w:t>
      </w:r>
      <w:r>
        <w:rPr>
          <w:rFonts w:eastAsia="Times New Roman"/>
          <w:lang/>
        </w:rPr>
        <w:t xml:space="preserve"> The boundary in one sentence</w:t>
      </w:r>
      <w:bookmarkEnd w:id="9"/>
    </w:p>
    <w:p w14:paraId="152DBA24" w14:textId="12D3B53B"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may execute autonomously at scale, but legal responsibility remains attached to identifiable humans and legal entities, expressed through explicit delegation, enforceable constraints, and auditable evidence trails. </w:t>
      </w:r>
    </w:p>
    <w:p w14:paraId="4A07D50D" w14:textId="76F30096" w:rsidR="00EB3336" w:rsidRPr="00EB3336" w:rsidRDefault="00EB3336" w:rsidP="00B6177E">
      <w:pPr>
        <w:pStyle w:val="Heading1"/>
        <w:rPr>
          <w:rFonts w:eastAsia="Times New Roman"/>
          <w:lang/>
        </w:rPr>
      </w:pPr>
      <w:bookmarkStart w:id="10" w:name="_Toc225361121"/>
      <w:r>
        <w:rPr>
          <w:rFonts w:eastAsia="Times New Roman"/>
          <w:lang/>
        </w:rPr>
        <w:lastRenderedPageBreak/>
        <w:t xml:space="preserve">Section </w:t>
      </w:r>
      <w:r>
        <w:rPr>
          <w:rFonts w:eastAsia="Times New Roman"/>
          <w:lang w:val="en-US"/>
        </w:rPr>
        <w:t>II</w:t>
      </w:r>
      <w:r>
        <w:rPr>
          <w:rFonts w:eastAsia="Times New Roman"/>
          <w:lang/>
        </w:rPr>
        <w:t xml:space="preserve"> — Doctrine Conflict Arbitration Model (Stability, Innovation, and Rule-of-Law Coherence)</w:t>
      </w:r>
      <w:bookmarkEnd w:id="10"/>
    </w:p>
    <w:p w14:paraId="2985271F" w14:textId="615BA2B8" w:rsidR="00EB3336" w:rsidRPr="00EB3336" w:rsidRDefault="00B6177E" w:rsidP="00B6177E">
      <w:pPr>
        <w:pStyle w:val="Heading2"/>
        <w:rPr>
          <w:rFonts w:eastAsia="Times New Roman"/>
          <w:lang/>
        </w:rPr>
      </w:pPr>
      <w:bookmarkStart w:id="11" w:name="_Toc225361122"/>
      <w:r>
        <w:rPr>
          <w:rFonts w:eastAsia="Times New Roman"/>
          <w:lang w:val="en-US"/>
        </w:rPr>
        <w:t>1.</w:t>
      </w:r>
      <w:r>
        <w:rPr>
          <w:rFonts w:eastAsia="Times New Roman"/>
          <w:lang/>
        </w:rPr>
        <w:t xml:space="preserve"> Why conflict arbitration is part of “autonomy,” not an exception to it</w:t>
      </w:r>
      <w:bookmarkEnd w:id="11"/>
    </w:p>
    <w:p w14:paraId="743A8A1A"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In human-led organisations, conflicts between goals are often resolved implicitly: by hierarchy, delay, compromise, or exhaustion. An autonomous enterprise cannot safely rely on implicit resolution. When a system is empowered to execute, unresolved tensions between objectives do not remain abstract; they become behavioural drift, silent trade-offs, and unreviewed risk acceptance.</w:t>
      </w:r>
    </w:p>
    <w:p w14:paraId="04D11058" w14:textId="7CE45F30"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therefore treats doctrine conflict arbitration as a core governance capability. This is consistent with ADAM’s overall approach: governance is not a periodic review activity; it is a runtime feature of the operating model. </w:t>
      </w:r>
    </w:p>
    <w:p w14:paraId="636CAE0C" w14:textId="50508AD8" w:rsidR="00EB3336" w:rsidRPr="00EB3336" w:rsidRDefault="00B6177E" w:rsidP="00B6177E">
      <w:pPr>
        <w:pStyle w:val="Heading2"/>
        <w:rPr>
          <w:rFonts w:eastAsia="Times New Roman"/>
          <w:lang/>
        </w:rPr>
      </w:pPr>
      <w:bookmarkStart w:id="12" w:name="_Toc225361123"/>
      <w:r>
        <w:rPr>
          <w:rFonts w:eastAsia="Times New Roman"/>
          <w:lang w:val="en-US"/>
        </w:rPr>
        <w:t>2.</w:t>
      </w:r>
      <w:r>
        <w:rPr>
          <w:rFonts w:eastAsia="Times New Roman"/>
          <w:lang/>
        </w:rPr>
        <w:t xml:space="preserve"> Doctrine is authoritative, but not self-amending</w:t>
      </w:r>
      <w:bookmarkEnd w:id="12"/>
    </w:p>
    <w:p w14:paraId="5B5DF765" w14:textId="0C7ED212"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ADAM’s doctrine—the CORE Engine and CORE Graph—encodes how the enterprise thinks: culture, objectives, rules, and expectations expressed as a structured substrate rather than informal prose. That doctrine is authoritative for execution, but ADAM does not permit doctrine to rewrite itself through optimisation pressure. The system may detect misalignment, simulate alternatives, and propose changes; it may not redefine intent. The authority to redefine intent remains human by design, because intent is not merely technical configuration—it is governance, risk appetite, and value choice. </w:t>
      </w:r>
    </w:p>
    <w:p w14:paraId="3EE8D341" w14:textId="537B7EF5"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This stance aligns with mainstream international governance expectations: accountability rests with AI actors and organisations, and lifecycle stewardship must preserve human rights and rule-of-law constraints. </w:t>
      </w:r>
    </w:p>
    <w:p w14:paraId="04FD3E3B" w14:textId="60B80599" w:rsidR="00EB3336" w:rsidRPr="00EB3336" w:rsidRDefault="00B6177E" w:rsidP="00B6177E">
      <w:pPr>
        <w:pStyle w:val="Heading2"/>
        <w:rPr>
          <w:rFonts w:eastAsia="Times New Roman"/>
          <w:lang/>
        </w:rPr>
      </w:pPr>
      <w:bookmarkStart w:id="13" w:name="_Toc225361124"/>
      <w:r>
        <w:rPr>
          <w:rFonts w:eastAsia="Times New Roman"/>
          <w:lang w:val="en-US"/>
        </w:rPr>
        <w:t>3.</w:t>
      </w:r>
      <w:r>
        <w:rPr>
          <w:rFonts w:eastAsia="Times New Roman"/>
          <w:lang/>
        </w:rPr>
        <w:t xml:space="preserve"> What counts as a doctrine conflict in ADAM</w:t>
      </w:r>
      <w:bookmarkEnd w:id="13"/>
    </w:p>
    <w:p w14:paraId="02491A34"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 doctrine conflict exists when the system encounters an irreconcilable tension that cannot be resolved within declared priorities and constraints without making an unowned value choice. In practice, ADAM treats at least three classes of situations as conflicts requiring arbitration.</w:t>
      </w:r>
    </w:p>
    <w:p w14:paraId="497EFC48" w14:textId="582B62E7"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First, objectives can collide in a way that cannot be simultaneously satisfied under current weights, thresholds, and constraints—classic growth versus risk, speed versus compliance, efficiency versus trust. Second, ADAM can observe sustained divergence between declared doctrine and executed behaviour, indicating drift rather than a one-off exception. Third, ADAM’s innovation engine can surface a proposal that is strategically attractive but not permissible under current doctrine and policy constraints. All three are foreseeable in the model you have already described: stability and drift detection, audit evidence capture, and innovation under governance. </w:t>
      </w:r>
    </w:p>
    <w:p w14:paraId="27A12343" w14:textId="199AB470" w:rsidR="00EB3336" w:rsidRPr="00EB3336" w:rsidRDefault="00B6177E" w:rsidP="00B6177E">
      <w:pPr>
        <w:pStyle w:val="Heading2"/>
        <w:rPr>
          <w:rFonts w:eastAsia="Times New Roman"/>
          <w:lang/>
        </w:rPr>
      </w:pPr>
      <w:bookmarkStart w:id="14" w:name="_Toc225361125"/>
      <w:r>
        <w:rPr>
          <w:rFonts w:eastAsia="Times New Roman"/>
          <w:lang w:val="en-US"/>
        </w:rPr>
        <w:lastRenderedPageBreak/>
        <w:t>4.</w:t>
      </w:r>
      <w:r>
        <w:rPr>
          <w:rFonts w:eastAsia="Times New Roman"/>
          <w:lang/>
        </w:rPr>
        <w:t xml:space="preserve"> The arbitration rule: machines surface trade-offs; humans author the resolution</w:t>
      </w:r>
      <w:bookmarkEnd w:id="14"/>
    </w:p>
    <w:p w14:paraId="6BD2884B"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When a doctrine conflict is detected, ADAM does not “pick a side” by heuristics, reward functions, or model confidence. Instead, it produces a conflict artifact and routes it through the human governance interface.</w:t>
      </w:r>
    </w:p>
    <w:p w14:paraId="06C3A5FA" w14:textId="4D90BA5B"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This is where ADAM’s “humans are not in the execution loop” needs to be read precisely. Humans are not there to select tools or manage workflows. They are there to resolve meaning and risk acceptance when the system’s declared doctrine is insufficiently determinate. </w:t>
      </w:r>
    </w:p>
    <w:p w14:paraId="1AC31DB2" w14:textId="6B6BF9B8"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In EU risk-based terms, this is also where meaningful oversight becomes operational: competent humans with authority receive a structured record of the conflict, its impacts, and the available lawful options, and can direct suspension, constraint tightening, or doctrine amendment.</w:t>
      </w:r>
    </w:p>
    <w:p w14:paraId="4A570024" w14:textId="5149970B" w:rsidR="00EB3336" w:rsidRPr="00EB3336" w:rsidRDefault="00B6177E" w:rsidP="00B6177E">
      <w:pPr>
        <w:pStyle w:val="Heading2"/>
        <w:rPr>
          <w:rFonts w:eastAsia="Times New Roman"/>
          <w:lang/>
        </w:rPr>
      </w:pPr>
      <w:bookmarkStart w:id="15" w:name="_Toc225361126"/>
      <w:r>
        <w:rPr>
          <w:rFonts w:eastAsia="Times New Roman"/>
          <w:lang w:val="en-US"/>
        </w:rPr>
        <w:t>5.</w:t>
      </w:r>
      <w:r>
        <w:rPr>
          <w:rFonts w:eastAsia="Times New Roman"/>
          <w:lang/>
        </w:rPr>
        <w:t xml:space="preserve"> How arbitration proceeds (and why auditors can rely on it)</w:t>
      </w:r>
      <w:bookmarkEnd w:id="15"/>
    </w:p>
    <w:p w14:paraId="06AD540D" w14:textId="714EDCB1"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When ADAM identifies a doctrine conflict, it formalises it as a Doctrine Conflict Record. The record contains the specific doctrine elements in tension, the execution contexts that triggered the tension, the predicted impacts across domains, and the evidence chain showing what was known and enforced at the time. Digital twins may be used to simulate outcomes and expose second-order effects, but the output must be framed as scenario analysis rather than certainty. </w:t>
      </w:r>
    </w:p>
    <w:p w14:paraId="427E2A93" w14:textId="1F976CE1"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The system then constrains execution in a targeted way. ADAM should not halt enterprise operations broadly; it should suspend or narrow only the affected decision paths, maintaining continuity elsewhere. This reflects the same design logic described in ADAM’s orchestration and exception handling: determinism where it matters, controlled flexibility where it does not. </w:t>
      </w:r>
    </w:p>
    <w:p w14:paraId="7D34178D" w14:textId="338A0E59"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Arbitration is then routed to the relevant director(s) of record through the Trust Gateway model: the human receives the conflict record with enough context to make a defensible decision, including consequences and reversible options, and the decision becomes a versioned governance input rather than an informal instruction. </w:t>
      </w:r>
    </w:p>
    <w:p w14:paraId="5278675F" w14:textId="02DECB75"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From an audit perspective, the key property is that the system produces a traceable governance event: who decided, what they decided, the basis for the decision, and how execution resumed under updated constraints. This matches the book’s evidence-first principle and supports the “replay truth, do not fabricate explanations” posture. </w:t>
      </w:r>
    </w:p>
    <w:p w14:paraId="702277C2" w14:textId="0B4DAB1A" w:rsidR="00EB3336" w:rsidRPr="00EB3336" w:rsidRDefault="00B6177E" w:rsidP="00B6177E">
      <w:pPr>
        <w:pStyle w:val="Heading2"/>
        <w:rPr>
          <w:rFonts w:eastAsia="Times New Roman"/>
          <w:lang/>
        </w:rPr>
      </w:pPr>
      <w:bookmarkStart w:id="16" w:name="_Toc225361127"/>
      <w:r>
        <w:rPr>
          <w:rFonts w:eastAsia="Times New Roman"/>
          <w:lang w:val="en-US"/>
        </w:rPr>
        <w:t xml:space="preserve">6. </w:t>
      </w:r>
      <w:r>
        <w:rPr>
          <w:rFonts w:eastAsia="Times New Roman"/>
          <w:lang/>
        </w:rPr>
        <w:t xml:space="preserve"> Why ADAM refuses silent resolution</w:t>
      </w:r>
      <w:bookmarkEnd w:id="16"/>
    </w:p>
    <w:p w14:paraId="75593BEB" w14:textId="57F8AB2C"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 common failure mode in autonomous systems is not a single catastrophic error, but gradual unreviewed drift: optimisation pressure quietly changes behaviour until the enterprise’s “identity” is no longer what directors believe it to be. ADAM’s stability plane is already designed to detect this, and the conflict arbitration model is how drift becomes governable rather than merely observable. </w:t>
      </w:r>
    </w:p>
    <w:p w14:paraId="7B5C9CAE" w14:textId="778A4648"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lastRenderedPageBreak/>
        <w:t xml:space="preserve">The Council of Europe’s AI Convention sets a governance expectation that AI activities remain consistent with rule-of-law and human rights constraints across the lifecycle, supported by appropriate measures proportionate to adverse impact. Silent resolution works against that goal because it makes value choices without accountable authorship. ADAM’s model makes those choices explicit, reviewable, and attributable. </w:t>
      </w:r>
    </w:p>
    <w:p w14:paraId="2AF3B839" w14:textId="0BC82B94" w:rsidR="00EB3336" w:rsidRPr="00EB3336" w:rsidRDefault="00B6177E" w:rsidP="00B6177E">
      <w:pPr>
        <w:pStyle w:val="Heading2"/>
        <w:rPr>
          <w:rFonts w:eastAsia="Times New Roman"/>
          <w:lang/>
        </w:rPr>
      </w:pPr>
      <w:bookmarkStart w:id="17" w:name="_Toc225361128"/>
      <w:r>
        <w:rPr>
          <w:rFonts w:eastAsia="Times New Roman"/>
          <w:lang w:val="en-US"/>
        </w:rPr>
        <w:t>7.</w:t>
      </w:r>
      <w:r>
        <w:rPr>
          <w:rFonts w:eastAsia="Times New Roman"/>
          <w:lang/>
        </w:rPr>
        <w:t xml:space="preserve"> Innovation remains aggressive, but bounded by legitimacy</w:t>
      </w:r>
      <w:bookmarkEnd w:id="17"/>
    </w:p>
    <w:p w14:paraId="62EF23AB" w14:textId="25C949C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ADAM does not treat innovation as an uncontrolled “learning loop.” It treats innovation as a governed capability that can generate doctrine update proposals backed by evidence and simulation, while reserving the authority to adopt those proposals to human directors. This is what allows “evolution without drift”: the enterprise can change rapidly, but it changes through authored governance, not emergent optimisation.</w:t>
      </w:r>
    </w:p>
    <w:p w14:paraId="0B384379" w14:textId="1CA86AE8" w:rsidR="00EB3336" w:rsidRPr="00EB3336" w:rsidRDefault="00B6177E" w:rsidP="00B6177E">
      <w:pPr>
        <w:pStyle w:val="Heading2"/>
        <w:rPr>
          <w:rFonts w:eastAsia="Times New Roman"/>
          <w:lang/>
        </w:rPr>
      </w:pPr>
      <w:bookmarkStart w:id="18" w:name="_Toc225361129"/>
      <w:r>
        <w:rPr>
          <w:rFonts w:eastAsia="Times New Roman"/>
          <w:lang w:val="en-US"/>
        </w:rPr>
        <w:t>8.</w:t>
      </w:r>
      <w:r>
        <w:rPr>
          <w:rFonts w:eastAsia="Times New Roman"/>
          <w:lang/>
        </w:rPr>
        <w:t xml:space="preserve"> What this model guarantees</w:t>
      </w:r>
      <w:bookmarkEnd w:id="18"/>
    </w:p>
    <w:p w14:paraId="08811F19" w14:textId="0C1919A0" w:rsidR="00EB3336"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The doctrine conflict arbitration model is a legitimacy mechanism. It ensures that when doctrine is insufficiently determinate, ADAM does not improvise governance. It detects conflicts, preserves operational truth, pauses or constrains only what is necessary, escalates to accountable humans with authority, and resumes under versioned, auditable doctrine. In doing so, it keeps autonomy compatible with rule-of-law expectations and with risk-based oversight regimes, including those relevant in the EU context. </w:t>
      </w:r>
    </w:p>
    <w:p w14:paraId="52D90E5F" w14:textId="04F45127" w:rsidR="00B6177E" w:rsidRPr="00B6177E" w:rsidRDefault="00B6177E" w:rsidP="00B6177E">
      <w:pPr>
        <w:pStyle w:val="Heading3"/>
        <w:rPr>
          <w:rFonts w:eastAsia="Times New Roman"/>
          <w:lang w:val="en-US"/>
        </w:rPr>
      </w:pPr>
      <w:bookmarkStart w:id="19" w:name="_Toc225361130"/>
      <w:r>
        <w:rPr>
          <w:rFonts w:eastAsia="Times New Roman"/>
          <w:lang w:val="en-US"/>
        </w:rPr>
        <w:t>Legal Positioning:</w:t>
      </w:r>
      <w:bookmarkEnd w:id="19"/>
    </w:p>
    <w:p w14:paraId="1C347EA4" w14:textId="75AFEB7F"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is designed to operate within existing legal and governance frameworks. Where sectoral or risk-based regimes require human oversight, organisational measures, monitoring, or suspension capabilities (including for high-risk AI deployments), ADAM implements these as control-plane functions rather than as manual workflow management.” </w:t>
      </w:r>
    </w:p>
    <w:p w14:paraId="64E53AF2" w14:textId="77777777" w:rsidR="00B6177E" w:rsidRDefault="00B6177E">
      <w:pPr>
        <w:rPr>
          <w:rFonts w:asciiTheme="majorHAnsi" w:eastAsia="Times New Roman" w:hAnsiTheme="majorHAnsi" w:cstheme="majorBidi"/>
          <w:color w:val="2F5496" w:themeColor="accent1" w:themeShade="BF"/>
          <w:sz w:val="40"/>
          <w:szCs w:val="40"/>
          <w:lang/>
        </w:rPr>
      </w:pPr>
      <w:r>
        <w:rPr>
          <w:rFonts w:eastAsia="Times New Roman"/>
          <w:lang/>
        </w:rPr>
        <w:br w:type="page"/>
      </w:r>
    </w:p>
    <w:p w14:paraId="16B04860" w14:textId="636A66B0" w:rsidR="00EB3336" w:rsidRDefault="00B6177E" w:rsidP="00EB3336">
      <w:pPr>
        <w:pStyle w:val="Heading1"/>
        <w:rPr>
          <w:rFonts w:eastAsia="Times New Roman"/>
          <w:lang w:val="en-US"/>
        </w:rPr>
      </w:pPr>
      <w:bookmarkStart w:id="20" w:name="_Toc225361131"/>
      <w:r>
        <w:rPr>
          <w:rFonts w:eastAsia="Times New Roman"/>
          <w:lang w:val="en-US"/>
        </w:rPr>
        <w:lastRenderedPageBreak/>
        <w:t xml:space="preserve">Section III - </w:t>
      </w:r>
      <w:r>
        <w:rPr>
          <w:rFonts w:eastAsia="Times New Roman"/>
          <w:lang/>
        </w:rPr>
        <w:t>ADAM Controls</w:t>
        <w:noBreakHyphen/>
        <w:t>to</w:t>
        <w:noBreakHyphen/>
        <w:t>Obligations Mapping</w:t>
      </w:r>
      <w:r>
        <w:rPr>
          <w:rFonts w:eastAsia="Times New Roman"/>
          <w:lang w:val="en-US"/>
        </w:rPr>
        <w:t>s</w:t>
      </w:r>
      <w:bookmarkEnd w:id="20"/>
    </w:p>
    <w:p w14:paraId="041EB011" w14:textId="1A4E69AE" w:rsidR="00EB3336" w:rsidRPr="00EB3336" w:rsidRDefault="00EB3336" w:rsidP="00EB3336">
      <w:pPr>
        <w:pStyle w:val="Heading2"/>
        <w:rPr>
          <w:rFonts w:eastAsia="Times New Roman"/>
          <w:lang/>
        </w:rPr>
      </w:pPr>
      <w:bookmarkStart w:id="21" w:name="_Toc225361132"/>
      <w:r>
        <w:rPr>
          <w:rFonts w:eastAsia="Times New Roman"/>
          <w:lang w:val="en-US"/>
        </w:rPr>
        <w:t>1</w:t>
      </w:r>
      <w:r>
        <w:rPr>
          <w:rFonts w:eastAsia="Times New Roman"/>
          <w:lang/>
        </w:rPr>
        <w:t>. Cross</w:t>
        <w:noBreakHyphen/>
        <w:t>Framework Synthesis (What This Mapping Demonstrates)</w:t>
      </w:r>
      <w:bookmarkEnd w:id="21"/>
    </w:p>
    <w:p w14:paraId="28551D98" w14:textId="77777777" w:rsidR="00EB3336" w:rsidRPr="00EB3336" w:rsidRDefault="00EB3336" w:rsidP="00EB3336">
      <w:pPr>
        <w:numPr>
          <w:ilvl w:val="0"/>
          <w:numId w:val="1"/>
        </w:num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EU AI Act compatibility:</w:t>
      </w:r>
      <w:r>
        <w:rPr>
          <w:rFonts w:ascii="Segoe UI" w:eastAsia="Times New Roman" w:hAnsi="Segoe UI" w:cs="Segoe UI"/>
          <w:kern w:val="0"/>
          <w:sz w:val="21"/>
          <w:szCs w:val="21"/>
          <w:lang/>
          <w14:ligatures w14:val="none"/>
        </w:rPr>
        <w:t xml:space="preserve"> ADAM operationalises deployer obligations—human oversight, monitoring, suspension, and accountability—without reverting to human</w:t>
        <w:noBreakHyphen/>
        <w:t>in</w:t>
        <w:noBreakHyphen/>
        <w:t>the</w:t>
        <w:noBreakHyphen/>
        <w:t xml:space="preserve">loop micromanagement. Oversight is implemented as a control plane, not as manual execution. </w:t>
      </w:r>
    </w:p>
    <w:p w14:paraId="645D2A81" w14:textId="77777777" w:rsidR="00EB3336" w:rsidRPr="00EB3336" w:rsidRDefault="00EB3336" w:rsidP="00EB3336">
      <w:pPr>
        <w:numPr>
          <w:ilvl w:val="0"/>
          <w:numId w:val="1"/>
        </w:num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ISO/IEC 42001 alignment:</w:t>
      </w:r>
      <w:r>
        <w:rPr>
          <w:rFonts w:ascii="Segoe UI" w:eastAsia="Times New Roman" w:hAnsi="Segoe UI" w:cs="Segoe UI"/>
          <w:kern w:val="0"/>
          <w:sz w:val="21"/>
          <w:szCs w:val="21"/>
          <w:lang/>
          <w14:ligatures w14:val="none"/>
        </w:rPr>
        <w:t xml:space="preserve"> ADAM can be read as an architectural realisation of an AI Management System: defined responsibilities, risk</w:t>
        <w:noBreakHyphen/>
        <w:t xml:space="preserve">based controls, monitoring, auditability, and continual improvement are built into execution rather than documented externally. </w:t>
      </w:r>
    </w:p>
    <w:p w14:paraId="65349258" w14:textId="77777777" w:rsidR="00EB3336" w:rsidRPr="00EB3336" w:rsidRDefault="00EB3336" w:rsidP="00EB3336">
      <w:pPr>
        <w:numPr>
          <w:ilvl w:val="0"/>
          <w:numId w:val="1"/>
        </w:num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Council of Europe rule</w:t>
        <w:noBreakHyphen/>
        <w:t>of</w:t>
        <w:noBreakHyphen/>
        <w:t>law framing:</w:t>
      </w:r>
      <w:r>
        <w:rPr>
          <w:rFonts w:ascii="Segoe UI" w:eastAsia="Times New Roman" w:hAnsi="Segoe UI" w:cs="Segoe UI"/>
          <w:kern w:val="0"/>
          <w:sz w:val="21"/>
          <w:szCs w:val="21"/>
          <w:lang/>
          <w14:ligatures w14:val="none"/>
        </w:rPr>
        <w:t xml:space="preserve"> By keeping intent authorship, value arbitration, and accountability human</w:t>
        <w:noBreakHyphen/>
        <w:t xml:space="preserve">owned, ADAM remains consistent with international expectations on human rights, democracy, and legality across the AI lifecycle. </w:t>
      </w:r>
    </w:p>
    <w:p w14:paraId="5DF4D3BC" w14:textId="77777777" w:rsidR="00EB3336" w:rsidRPr="00EB3336" w:rsidRDefault="00EB3336" w:rsidP="00EB3336">
      <w:pPr>
        <w:rPr>
          <w:lang/>
        </w:rPr>
      </w:pPr>
    </w:p>
    <w:p w14:paraId="19A1AB93" w14:textId="77777777" w:rsidR="00EB3336" w:rsidRDefault="00EB3336">
      <w:pPr>
        <w:rPr>
          <w:rFonts w:asciiTheme="majorHAnsi" w:eastAsia="Times New Roman" w:hAnsiTheme="majorHAnsi" w:cstheme="majorBidi"/>
          <w:color w:val="2F5496" w:themeColor="accent1" w:themeShade="BF"/>
          <w:sz w:val="32"/>
          <w:szCs w:val="32"/>
          <w:lang w:val="en-US"/>
        </w:rPr>
      </w:pPr>
      <w:r>
        <w:rPr>
          <w:rFonts w:eastAsia="Times New Roman"/>
          <w:lang w:val="en-US"/>
        </w:rPr>
        <w:br w:type="page"/>
      </w:r>
    </w:p>
    <w:p w14:paraId="62ECA869" w14:textId="13D626F8" w:rsidR="00EB3336" w:rsidRPr="00EB3336" w:rsidRDefault="00EB3336" w:rsidP="00EB3336">
      <w:pPr>
        <w:pStyle w:val="Heading2"/>
        <w:rPr>
          <w:rFonts w:eastAsia="Times New Roman"/>
          <w:lang/>
        </w:rPr>
      </w:pPr>
      <w:bookmarkStart w:id="22" w:name="_Toc225361133"/>
      <w:r>
        <w:rPr>
          <w:rFonts w:eastAsia="Times New Roman"/>
          <w:lang w:val="en-US"/>
        </w:rPr>
        <w:lastRenderedPageBreak/>
        <w:t xml:space="preserve">1. </w:t>
      </w:r>
      <w:r>
        <w:rPr>
          <w:rFonts w:eastAsia="Times New Roman"/>
          <w:lang/>
        </w:rPr>
        <w:t>Legal Personality Boundary &amp; Accountable Autonomy</w:t>
      </w:r>
      <w:bookmarkEnd w:id="22"/>
    </w:p>
    <w:tbl>
      <w:tblPr>
        <w:tblW w:w="10710" w:type="dxa"/>
        <w:tblCellSpacing w:w="15" w:type="dxa"/>
        <w:tblInd w:w="-908" w:type="dxa"/>
        <w:tblCellMar>
          <w:top w:w="15" w:type="dxa"/>
          <w:left w:w="15" w:type="dxa"/>
          <w:bottom w:w="15" w:type="dxa"/>
          <w:right w:w="15" w:type="dxa"/>
        </w:tblCellMar>
        <w:tblLook w:val="04A0" w:firstRow="1" w:lastRow="0" w:firstColumn="1" w:lastColumn="0" w:noHBand="0" w:noVBand="1"/>
      </w:tblPr>
      <w:tblGrid>
        <w:gridCol w:w="2250"/>
        <w:gridCol w:w="3277"/>
        <w:gridCol w:w="2663"/>
        <w:gridCol w:w="2520"/>
      </w:tblGrid>
      <w:tr w:rsidR="00EB3336" w:rsidRPr="00EB3336" w14:paraId="7E0EC7B6"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BB989A"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ADAM Control / Design Assertion</w:t>
            </w:r>
          </w:p>
        </w:tc>
        <w:tc>
          <w:tcPr>
            <w:tcW w:w="324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DA04F7"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EU AI Act (Deployer Lens)</w:t>
            </w:r>
          </w:p>
        </w:tc>
        <w:tc>
          <w:tcPr>
            <w:tcW w:w="263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FD5A56"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ISO/IEC 42001 (AIMS)</w:t>
            </w:r>
          </w:p>
        </w:tc>
        <w:tc>
          <w:tcPr>
            <w:tcW w:w="247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7F7094"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Council of Europe AI Convention</w:t>
            </w:r>
          </w:p>
        </w:tc>
      </w:tr>
      <w:tr w:rsidR="00EB3336" w:rsidRPr="00EB3336" w14:paraId="575A4496"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108B2E"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ADAM has no legal personality; all acts are performed on behalf of an identified legal person</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4DB81324"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deployer accountability model: obligations attach to deployers/providers, not to AI systems themselves; responsibility cannot be shifted to the system</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29C3251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Clarifies organisational role and accountability within the AI management system; responsibilities must be assigned to natural persons</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3E72DB77"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Consistent with rule</w:t>
              <w:noBreakHyphen/>
              <w:t>of</w:t>
              <w:noBreakHyphen/>
              <w:t>law principle that legal responsibility remains with human or legal actors, not technical artefacts</w:t>
            </w:r>
          </w:p>
        </w:tc>
      </w:tr>
      <w:tr w:rsidR="00EB3336" w:rsidRPr="00EB3336" w14:paraId="5E796087"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061EF6"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Explicit delegation of authority</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2EDE8F7F"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requirement that deployers use AI systems “in accordance with instructions” and within defined conditions; prevents uncontrolled use</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2B33C39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Maps to defined roles, authorities, and controls in governance clauses; delegation must be documented and reviewable</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7BE36A7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legality and predictability of decision</w:t>
              <w:noBreakHyphen/>
              <w:t>making under rule</w:t>
              <w:noBreakHyphen/>
              <w:t>of</w:t>
              <w:noBreakHyphen/>
              <w:t>law expectations</w:t>
            </w:r>
          </w:p>
        </w:tc>
      </w:tr>
      <w:tr w:rsidR="00EB3336" w:rsidRPr="00EB3336" w14:paraId="6B55ED45"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79058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Human directors as accountability anchors</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4AD57710"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Satisfies requirement to assign human oversight to competent persons with authority and support</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7A45800B"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top</w:t>
              <w:noBreakHyphen/>
              <w:t>management responsibility, governance ownership, and accountability assignment</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574E2107"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Reinforces democratic accountability and identifiable responsibility</w:t>
            </w:r>
          </w:p>
        </w:tc>
      </w:tr>
      <w:tr w:rsidR="00EB3336" w:rsidRPr="00EB3336" w14:paraId="18D04E88"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7C673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Humans govern intent, constraints, and escalation, not execution</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7190088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Compatible with risk</w:t>
              <w:noBreakHyphen/>
              <w:t>based human oversight: oversight does not require manual operation, but authority to intervene/suspend</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3DA45705"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Distinguishes governance from operations while maintaining effective control mechanisms</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64AB405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Preserves human agency over meaning, values, and lawful purpose</w:t>
            </w:r>
          </w:p>
        </w:tc>
      </w:tr>
      <w:tr w:rsidR="00EB3336" w:rsidRPr="00EB3336" w14:paraId="5740C4BF"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6173BA"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Trust Gateway / escalation interface enabling approval</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57A1628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Directly supports obligation to monitor operation and suspend use where risk is identified</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654D216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Maps to operational control and incident response within AIMS</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5B07D9F0"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Enables proportionate measures to prevent adverse impacts</w:t>
            </w:r>
          </w:p>
        </w:tc>
      </w:tr>
      <w:tr w:rsidR="00EB3336" w:rsidRPr="00EB3336" w14:paraId="1FF25F05"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C8B730"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Evidence</w:t>
              <w:noBreakHyphen/>
              <w:t>first execution and audit trail for all consequential actions</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3128AA8B"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Meets logging, traceability, and post</w:t>
              <w:noBreakHyphen/>
              <w:t>incident cooperation expectations</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002364F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Core to monitoring, documentation, internal audit, and continual improvement</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68E47892"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effective remedies, accountability, and review</w:t>
            </w:r>
          </w:p>
        </w:tc>
      </w:tr>
      <w:tr w:rsidR="00EB3336" w:rsidRPr="00EB3336" w14:paraId="24D5C913"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340CD9"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Autonomy is bounded, throttleable, and revocable</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57DDA5FD"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requirement to prevent or minimise risk and suspend use when necessary</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6D35CDD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Fits risk treatment, corrective action, and lifecycle management</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4426F01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Ensures proportionality and safeguards consistent with human rights protection</w:t>
            </w:r>
          </w:p>
        </w:tc>
      </w:tr>
    </w:tbl>
    <w:p w14:paraId="49EC675A" w14:textId="6DE96048" w:rsidR="00EB3336" w:rsidRPr="00EB3336" w:rsidRDefault="00EB3336" w:rsidP="00EB3336">
      <w:pPr>
        <w:spacing w:after="0"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Interpretive note:</w:t>
      </w:r>
      <w:r>
        <w:rPr>
          <w:rFonts w:ascii="Segoe UI" w:eastAsia="Times New Roman" w:hAnsi="Segoe UI" w:cs="Segoe UI"/>
          <w:kern w:val="0"/>
          <w:sz w:val="21"/>
          <w:szCs w:val="21"/>
          <w:lang/>
          <w14:ligatures w14:val="none"/>
        </w:rPr>
        <w:br/>
        <w:t>ADAM’s “full autonomy” is operational autonomy within delegated authority. Legal responsibility and oversight remain human and organisational, consistent with EU risk</w:t>
        <w:noBreakHyphen/>
        <w:t>based regulation and international rule</w:t>
        <w:noBreakHyphen/>
        <w:t>of</w:t>
        <w:noBreakHyphen/>
        <w:t xml:space="preserve">law instruments. </w:t>
      </w:r>
    </w:p>
    <w:p w14:paraId="3B10E66C" w14:textId="77777777" w:rsidR="00EB3336" w:rsidRPr="00EB3336" w:rsidRDefault="00EB3336"/>
    <w:p w14:paraId="2938675E" w14:textId="63663B61" w:rsidR="00EB3336" w:rsidRPr="00EB3336" w:rsidRDefault="00EB3336" w:rsidP="00EB3336">
      <w:pPr>
        <w:pStyle w:val="Heading2"/>
        <w:rPr>
          <w:rFonts w:eastAsia="Times New Roman"/>
          <w:lang/>
        </w:rPr>
      </w:pPr>
      <w:r>
        <w:rPr>
          <w:lang w:val="en-US"/>
        </w:rPr>
        <w:br w:type="page"/>
      </w:r>
      <w:bookmarkStart w:id="23" w:name="_Toc225361134"/>
      <w:r>
        <w:rPr>
          <w:rFonts w:eastAsia="Times New Roman"/>
          <w:lang w:val="en-US"/>
        </w:rPr>
        <w:lastRenderedPageBreak/>
        <w:t xml:space="preserve">2. </w:t>
      </w:r>
      <w:r>
        <w:rPr>
          <w:rFonts w:eastAsia="Times New Roman"/>
          <w:lang/>
        </w:rPr>
        <w:t>Doctrine Conflict Arbitration (Stability, Innovation, and Rule</w:t>
        <w:noBreakHyphen/>
        <w:t>of</w:t>
        <w:noBreakHyphen/>
        <w:t>Law Coherence)</w:t>
      </w:r>
      <w:bookmarkEnd w:id="23"/>
    </w:p>
    <w:tbl>
      <w:tblPr>
        <w:tblW w:w="10980" w:type="dxa"/>
        <w:tblCellSpacing w:w="15" w:type="dxa"/>
        <w:tblInd w:w="-998" w:type="dxa"/>
        <w:tblCellMar>
          <w:top w:w="15" w:type="dxa"/>
          <w:left w:w="15" w:type="dxa"/>
          <w:bottom w:w="15" w:type="dxa"/>
          <w:right w:w="15" w:type="dxa"/>
        </w:tblCellMar>
        <w:tblLook w:val="04A0" w:firstRow="1" w:lastRow="0" w:firstColumn="1" w:lastColumn="0" w:noHBand="0" w:noVBand="1"/>
      </w:tblPr>
      <w:tblGrid>
        <w:gridCol w:w="2160"/>
        <w:gridCol w:w="3060"/>
        <w:gridCol w:w="3060"/>
        <w:gridCol w:w="2700"/>
      </w:tblGrid>
      <w:tr w:rsidR="00EB3336" w:rsidRPr="00EB3336" w14:paraId="332515E7"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C1D3F"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ADAM Control / Design Assertion</w:t>
            </w:r>
          </w:p>
        </w:tc>
        <w:tc>
          <w:tcPr>
            <w:tcW w:w="30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ACABC"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EU AI Act (Deployer Lens)</w:t>
            </w:r>
          </w:p>
        </w:tc>
        <w:tc>
          <w:tcPr>
            <w:tcW w:w="30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6067C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ISO/IEC 42001 (AIMS)</w:t>
            </w:r>
          </w:p>
        </w:tc>
        <w:tc>
          <w:tcPr>
            <w:tcW w:w="26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97909"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Council of Europe AI Convention</w:t>
            </w:r>
          </w:p>
        </w:tc>
      </w:tr>
      <w:tr w:rsidR="00EB3336" w:rsidRPr="00EB3336" w14:paraId="262D24AA"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C60B45"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Doctrine (CORE) is authoritative but not self</w:t>
              <w:noBreakHyphen/>
              <w:t>amending</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38AB336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Prevents uncontrolled adaptation that could introduce new risks without oversight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1AE0C2E1"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controlled change management and governance of objectives</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BA0E2E4"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Protects against silent erosion of human</w:t>
              <w:noBreakHyphen/>
              <w:t>centred values</w:t>
            </w:r>
          </w:p>
        </w:tc>
      </w:tr>
      <w:tr w:rsidR="00EB3336" w:rsidRPr="00EB3336" w14:paraId="3AD5D5D4"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E44D7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Conflict detection via Stability &amp; Drift Plane and CORE Graph</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4D7BF76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monitoring obligations and early identification of risk</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27CE7D2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continuous monitoring and performance evaluation</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7A472D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Enables preventive measures proportional to risk</w:t>
            </w:r>
          </w:p>
        </w:tc>
      </w:tr>
      <w:tr w:rsidR="00EB3336" w:rsidRPr="00EB3336" w14:paraId="0BD5009E"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9034D"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Conflicts are formalised as governance records (conflict objects with evidence)</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1580804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Facilitates cooperation with authorities and post</w:t>
              <w:noBreakHyphen/>
              <w:t>incident explanation</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7DC625C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Matches documentation, auditability, and traceability requirements</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5A4BC35"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transparency and accountability under rule of law</w:t>
            </w:r>
          </w:p>
        </w:tc>
      </w:tr>
      <w:tr w:rsidR="00EB3336" w:rsidRPr="00EB3336" w14:paraId="41118E4B"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856C31"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Scoped execution constraint or pause pending arbitration</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A944F84"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Compatible with suspension of use where risk is identified</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56BB723D"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Fits corrective action and operational control mechanisms</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701A6E97"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Ensures safeguards without disproportionate disruption</w:t>
            </w:r>
          </w:p>
        </w:tc>
      </w:tr>
      <w:tr w:rsidR="00EB3336" w:rsidRPr="00EB3336" w14:paraId="774B0393"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8C9B67"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Human arbitration of intent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02329530"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Satisfies requirement for competent human oversight with authority to intervene</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99212F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management review and decision authority</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23EDDD2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Preserves democratic legitimacy of value</w:t>
              <w:noBreakHyphen/>
              <w:t>laden decisions</w:t>
            </w:r>
          </w:p>
        </w:tc>
      </w:tr>
      <w:tr w:rsidR="00EB3336" w:rsidRPr="00EB3336" w14:paraId="5C53F4C6"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D524C0"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Outcomes recorded as versioned doctrine changes</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72EFA77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Ensures clarity on “what was allowed” at the time of action</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EF7CE7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lifecycle governance, change control, and continual improvement</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3B90725"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Enables reviewability and remedies if adverse impacts occur</w:t>
            </w:r>
          </w:p>
        </w:tc>
      </w:tr>
      <w:tr w:rsidR="00EB3336" w:rsidRPr="00EB3336" w14:paraId="0C6DF60D"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E24412"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Innovation may propose, but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525A2ED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Prevents unsafe optimisation pressure from bypassing oversight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8C3F92C"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Maintains separation between innovation and governance</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413AEB9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Balances innovation with human rights and rule</w:t>
              <w:noBreakHyphen/>
              <w:t>of</w:t>
              <w:noBreakHyphen/>
              <w:t>law constraints</w:t>
            </w:r>
          </w:p>
        </w:tc>
      </w:tr>
    </w:tbl>
    <w:p w14:paraId="1C6CD3BC" w14:textId="77777777" w:rsidR="00EB3336" w:rsidRPr="00EB3336" w:rsidRDefault="00EB3336"/>
    <w:p w14:paraId="330DECAE" w14:textId="560787B2" w:rsidR="00EB3336" w:rsidRPr="00EB3336" w:rsidRDefault="00EB3336" w:rsidP="00EB3336">
      <w:pPr>
        <w:rPr>
          <w:rFonts w:ascii="Segoe UI" w:eastAsia="Times New Roman" w:hAnsi="Segoe UI" w:cs="Segoe UI"/>
          <w:kern w:val="0"/>
          <w:sz w:val="21"/>
          <w:szCs w:val="21"/>
          <w:lang w:val="en-US"/>
          <w14:ligatures w14:val="none"/>
        </w:rPr>
      </w:pPr>
      <w:r>
        <w:rPr>
          <w:rFonts w:ascii="Segoe UI" w:eastAsia="Times New Roman" w:hAnsi="Segoe UI" w:cs="Segoe UI"/>
          <w:b/>
          <w:bCs/>
          <w:kern w:val="0"/>
          <w:sz w:val="21"/>
          <w:szCs w:val="21"/>
          <w:lang/>
          <w14:ligatures w14:val="none"/>
        </w:rPr>
        <w:t>Interpretive note:</w:t>
      </w:r>
      <w:r>
        <w:rPr>
          <w:rFonts w:ascii="Segoe UI" w:eastAsia="Times New Roman" w:hAnsi="Segoe UI" w:cs="Segoe UI"/>
          <w:kern w:val="0"/>
          <w:sz w:val="21"/>
          <w:szCs w:val="21"/>
          <w:lang/>
          <w14:ligatures w14:val="none"/>
        </w:rPr>
        <w:br/>
        <w:t>ADAM explicitly refuses silent conflict resolution by optimisation or model heuristics. All value</w:t>
        <w:noBreakHyphen/>
        <w:t xml:space="preserve">bearing conflicts are escalated to accountable humans with evidence and simulation support, ensuring legality, proportionality, and auditability. </w:t>
      </w:r>
    </w:p>
    <w:p w14:paraId="62993E7D" w14:textId="77777777" w:rsidR="00EB3336" w:rsidRDefault="00EB3336" w:rsidP="00EB3336">
      <w:pPr>
        <w:rPr>
          <w:rFonts w:ascii="Segoe UI" w:eastAsia="Times New Roman" w:hAnsi="Segoe UI" w:cs="Segoe UI"/>
          <w:kern w:val="0"/>
          <w:sz w:val="21"/>
          <w:szCs w:val="21"/>
          <w:lang w:val="en-US"/>
          <w14:ligatures w14:val="none"/>
        </w:rPr>
      </w:pPr>
    </w:p>
    <w:p w14:paraId="78C489E1" w14:textId="77777777" w:rsidR="00EB3336" w:rsidRDefault="00EB3336" w:rsidP="00EB3336">
      <w:pPr>
        <w:rPr>
          <w:rFonts w:ascii="Segoe UI" w:eastAsia="Times New Roman" w:hAnsi="Segoe UI" w:cs="Segoe UI"/>
          <w:kern w:val="0"/>
          <w:sz w:val="21"/>
          <w:szCs w:val="21"/>
          <w:lang w:val="en-US"/>
          <w14:ligatures w14:val="none"/>
        </w:rPr>
      </w:pPr>
    </w:p>
    <w:p w14:paraId="0B524C1D" w14:textId="77777777" w:rsidR="00EB3336" w:rsidRPr="00EB3336" w:rsidRDefault="00EB3336" w:rsidP="00EB3336">
      <w:pPr>
        <w:rPr>
          <w:rFonts w:ascii="Segoe UI" w:eastAsia="Times New Roman" w:hAnsi="Segoe UI" w:cs="Segoe UI"/>
          <w:kern w:val="0"/>
          <w:sz w:val="21"/>
          <w:szCs w:val="21"/>
          <w:lang w:val="en-US"/>
          <w14:ligatures w14:val="none"/>
        </w:rPr>
      </w:pPr>
    </w:p>
    <w:p w14:paraId="2DFF172B" w14:textId="77777777" w:rsidR="00EB3336" w:rsidRDefault="00EB3336">
      <w:pPr>
        <w:rPr>
          <w:lang w:val="en-US"/>
        </w:rPr>
      </w:pPr>
    </w:p>
    <w:p w14:paraId="4087DD6E" w14:textId="77777777" w:rsidR="00EB3336" w:rsidRDefault="00EB3336">
      <w:pPr>
        <w:rPr>
          <w:lang w:val="en-US"/>
        </w:rPr>
      </w:pPr>
    </w:p>
    <w:p w14:paraId="2BE2292A" w14:textId="77777777" w:rsidR="00EB3336" w:rsidRDefault="00EB3336">
      <w:pPr>
        <w:rPr>
          <w:lang w:val="en-US"/>
        </w:rPr>
      </w:pPr>
    </w:p>
    <w:p w14:paraId="1B000001" w14:textId="2B000002" w:rsidR="00AA1D8D" w:rsidRDefault="00AA1D8D">
      <w:pPr>
        <w:pStyle w:val="Heading3"/>
        <w:rPr>
          <w:rFonts w:eastAsia="Times New Roman"/>
        </w:rPr>
      </w:pPr>
      <w:bookmarkStart w:id="101" w:name="_TocLegal101"/>
      <w:r>
        <w:rPr>
          <w:rFonts w:eastAsia="Times New Roman"/>
        </w:rPr>
        <w:t>Singapore Model AI Governance Framework for Agentic AI (January 2026)</w:t>
      </w:r>
      <w:bookmarkEnd w:id="101"/>
    </w:p>
    <w:p w14:paraId="1B000003" w14:textId="2B000004" w:rsidR="00AA1D8D" w:rsidRDefault="00AA1D8D">
      <w:pPr>
        <w:spacing w:before="100" w:beforeAutospacing="1" w:after="100" w:afterAutospacing="1" w:line="300" w:lineRule="atLeast"/>
      </w:pPr>
      <w:r>
        <w:rPr>
          <w:rFonts w:ascii="Segoe UI" w:eastAsia="Times New Roman" w:hAnsi="Segoe UI" w:cs="Segoe UI"/>
          <w:kern w:val="0"/>
          <w:sz w:val="21"/>
          <w:szCs w:val="21"/>
        </w:rPr>
        <w:t>Singapore’s Infocomm Media Development Authority (IMDA) launched the world’s first state-backed governance framework specifically designed for agentic AI systems at Davos on January 22, 2026. The framework addresses four dimensions: risk assessment and bounding, human accountability throughout the agent lifecycle, technical controls for safe deployment, and end-user responsibility in agent interactions.</w:t>
      </w:r>
    </w:p>
    <w:p w14:paraId="1B000060" w14:textId="2B000060" w:rsidR="00CC1D8D" w:rsidRDefault="00CC1D8D">
      <w:pPr>
        <w:spacing w:before="120" w:after="120"/>
        <w:rPr>
          <w:rFonts w:ascii="Segoe UI" w:eastAsia="Times New Roman" w:hAnsi="Segoe UI" w:cs="Segoe UI"/>
          <w:kern w:val="0"/>
          <w:sz w:val="21"/>
          <w:szCs w:val="21"/>
        </w:rPr>
      </w:pPr>
      <w:r>
        <w:rPr>
          <w:rFonts w:ascii="Segoe UI" w:eastAsia="Times New Roman" w:hAnsi="Segoe UI" w:cs="Segoe UI"/>
          <w:kern w:val="0"/>
          <w:sz w:val="21"/>
          <w:szCs w:val="21"/>
        </w:rPr>
        <w:t xml:space="preserve">ADAM aligns with all four IMDA dimensions natively. The following table maps each dimension to specific ADAM components and coverage details:</w:t>
      </w:r>
    </w:p>
    <w:tbl>
      <w:tblPr>
        <w:tblW w:type="dxa" w:w="9360"/>
        <w:jc w:val="center"/>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Look w:firstColumn="1" w:firstRow="1" w:lastColumn="0" w:lastRow="0" w:noHBand="0" w:noVBand="1" w:val="04A0"/>
      </w:tblPr>
      <w:tblGrid>
        <w:gridCol w:w="2800"/>
        <w:gridCol w:w="2800"/>
        <w:gridCol w:w="3760"/>
      </w:tblGrid>
      <w:tr w:rsidR="00CC1D8D">
        <w:tc>
          <w:tcPr>
            <w:tcW w:w="2800" w:type="dxa"/>
            <w:tcBorders>
              <w:top w:val="single" w:sz="4" w:color="CCCCCC" w:space="0"/>
              <w:left w:val="single" w:sz="4" w:color="CCCCCC" w:space="0"/>
              <w:bottom w:val="single" w:sz="4" w:color="CCCCCC" w:space="0"/>
              <w:right w:val="single" w:sz="4" w:color="CCCCCC" w:space="0"/>
            </w:tcBorders>
            <w:shd w:val="clear" w:color="auto" w:fill="1B3A5C"/>
            <w:tcMar>
              <w:top w:w="80" w:type="dxa"/>
              <w:left w:w="120" w:type="dxa"/>
              <w:bottom w:w="80" w:type="dxa"/>
              <w:right w:w="120" w:type="dxa"/>
            </w:tcMar>
          </w:tcPr>
          <w:p w14:paraId="1B000061" w14:textId="2B000061" w:rsidR="00CC1D8D" w:rsidRDefault="00CC1D8D">
            <w:pPr>
              <w:rPr>
                <w:rFonts w:ascii="Segoe UI" w:eastAsia="Times New Roman" w:hAnsi="Segoe UI" w:cs="Segoe UI"/>
                <w:b/>
                <w:color w:val="FFFFFF"/>
                <w:kern w:val="0"/>
                <w:sz w:val="21"/>
                <w:szCs w:val="21"/>
              </w:rPr>
            </w:pPr>
            <w:r>
              <w:rPr>
                <w:rFonts w:ascii="Segoe UI" w:eastAsia="Times New Roman" w:hAnsi="Segoe UI" w:cs="Segoe UI"/>
                <w:b/>
                <w:color w:val="FFFFFF"/>
                <w:kern w:val="0"/>
                <w:sz w:val="21"/>
                <w:szCs w:val="21"/>
              </w:rPr>
              <w:t xml:space="preserve">IMDA Dimension</w:t>
            </w:r>
          </w:p>
        </w:tc>
        <w:tc>
          <w:tcPr>
            <w:tcW w:w="2800" w:type="dxa"/>
            <w:tcBorders>
              <w:top w:val="single" w:sz="4" w:color="CCCCCC" w:space="0"/>
              <w:left w:val="single" w:sz="4" w:color="CCCCCC" w:space="0"/>
              <w:bottom w:val="single" w:sz="4" w:color="CCCCCC" w:space="0"/>
              <w:right w:val="single" w:sz="4" w:color="CCCCCC" w:space="0"/>
            </w:tcBorders>
            <w:shd w:val="clear" w:color="auto" w:fill="1B3A5C"/>
            <w:tcMar>
              <w:top w:w="80" w:type="dxa"/>
              <w:left w:w="120" w:type="dxa"/>
              <w:bottom w:w="80" w:type="dxa"/>
              <w:right w:w="120" w:type="dxa"/>
            </w:tcMar>
          </w:tcPr>
          <w:p w14:paraId="1B000062" w14:textId="2B000062" w:rsidR="00CC1D8D" w:rsidRDefault="00CC1D8D">
            <w:pPr>
              <w:rPr>
                <w:rFonts w:ascii="Segoe UI" w:eastAsia="Times New Roman" w:hAnsi="Segoe UI" w:cs="Segoe UI"/>
                <w:b/>
                <w:color w:val="FFFFFF"/>
                <w:kern w:val="0"/>
                <w:sz w:val="21"/>
                <w:szCs w:val="21"/>
              </w:rPr>
            </w:pPr>
            <w:r>
              <w:rPr>
                <w:rFonts w:ascii="Segoe UI" w:eastAsia="Times New Roman" w:hAnsi="Segoe UI" w:cs="Segoe UI"/>
                <w:b/>
                <w:color w:val="FFFFFF"/>
                <w:kern w:val="0"/>
                <w:sz w:val="21"/>
                <w:szCs w:val="21"/>
              </w:rPr>
              <w:t xml:space="preserve">ADAM Component(s)</w:t>
            </w:r>
          </w:p>
        </w:tc>
        <w:tc>
          <w:tcPr>
            <w:tcW w:w="3760" w:type="dxa"/>
            <w:tcBorders>
              <w:top w:val="single" w:sz="4" w:color="CCCCCC" w:space="0"/>
              <w:left w:val="single" w:sz="4" w:color="CCCCCC" w:space="0"/>
              <w:bottom w:val="single" w:sz="4" w:color="CCCCCC" w:space="0"/>
              <w:right w:val="single" w:sz="4" w:color="CCCCCC" w:space="0"/>
            </w:tcBorders>
            <w:shd w:val="clear" w:color="auto" w:fill="1B3A5C"/>
            <w:tcMar>
              <w:top w:w="80" w:type="dxa"/>
              <w:left w:w="120" w:type="dxa"/>
              <w:bottom w:w="80" w:type="dxa"/>
              <w:right w:w="120" w:type="dxa"/>
            </w:tcMar>
          </w:tcPr>
          <w:p w14:paraId="1B000063" w14:textId="2B000063" w:rsidR="00CC1D8D" w:rsidRDefault="00CC1D8D">
            <w:pPr>
              <w:rPr>
                <w:rFonts w:ascii="Segoe UI" w:eastAsia="Times New Roman" w:hAnsi="Segoe UI" w:cs="Segoe UI"/>
                <w:b/>
                <w:color w:val="FFFFFF"/>
                <w:kern w:val="0"/>
                <w:sz w:val="21"/>
                <w:szCs w:val="21"/>
              </w:rPr>
            </w:pPr>
            <w:r>
              <w:rPr>
                <w:rFonts w:ascii="Segoe UI" w:eastAsia="Times New Roman" w:hAnsi="Segoe UI" w:cs="Segoe UI"/>
                <w:b/>
                <w:color w:val="FFFFFF"/>
                <w:kern w:val="0"/>
                <w:sz w:val="21"/>
                <w:szCs w:val="21"/>
              </w:rPr>
              <w:t xml:space="preserve">Coverage Detail</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4" w14:textId="2B000064"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Risk Assessment &amp; Bounding</w:t>
            </w:r>
          </w:p>
        </w:tc>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5" w14:textId="2B000065"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BOSS Score, Exception Economy</w:t>
            </w:r>
          </w:p>
        </w:tc>
        <w:tc>
          <w:tcPr>
            <w:tcW w:w="376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6" w14:textId="2B000066"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BOSS provides continuous 7-dimension risk scoring; Exception Economy routes actions by consequence tier; SOAP-to-OHSHAT escalation ensures proportional human involvement</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7" w14:textId="2B000067"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Human Accountability (Lifecycle)</w:t>
            </w:r>
          </w:p>
        </w:tc>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8" w14:textId="2B000068"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5-Director Constitution, Governance Feedback Loops</w:t>
            </w:r>
          </w:p>
        </w:tc>
        <w:tc>
          <w:tcPr>
            <w:tcW w:w="37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9" w14:textId="2B000069"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Directors maintain accountability at strategic level; governance loops ensure human oversight persists through every agent lifecycle phase</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A" w14:textId="2B00006A"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Technical Controls (Safe Deployment)</w:t>
            </w:r>
          </w:p>
        </w:tc>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B" w14:textId="2B00006B"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Blueprint Layers 1–3 (Policy &amp; Risk, Evidence &amp; Audit, Security &amp; Trust)</w:t>
            </w:r>
          </w:p>
        </w:tc>
        <w:tc>
          <w:tcPr>
            <w:tcW w:w="376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C" w14:textId="2B00006C"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Policy Plane enforces runtime constraints; Flight Recorder provides forensic evidence; Cryptographic Authorization Vault and zero-trust architecture secure all agent operations</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D" w14:textId="2B00006D"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End-User Responsibility</w:t>
            </w:r>
          </w:p>
        </w:tc>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E" w14:textId="2B00006E"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Structured Escalation, Trust Gateway Interfaces</w:t>
            </w:r>
          </w:p>
        </w:tc>
        <w:tc>
          <w:tcPr>
            <w:tcW w:w="37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F" w14:textId="2B00006F"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Escalation packets include full context and evidence; Trust Gateway provides transparent interfaces for human review and override of agent decisions</w:t>
            </w:r>
          </w:p>
        </w:tc>
      </w:tr>
    </w:tbl>
    <w:p w14:paraId="1B000070" w14:textId="2B000070" w:rsidR="00CC1D8D" w:rsidRDefault="00CC1D8D">
      <w:pPr>
        <w:spacing w:before="120" w:after="120"/>
        <w:rPr>
          <w:rFonts w:ascii="Segoe UI" w:eastAsia="Times New Roman" w:hAnsi="Segoe UI" w:cs="Segoe UI"/>
          <w:kern w:val="0"/>
          <w:sz w:val="21"/>
          <w:szCs w:val="21"/>
        </w:rPr>
      </w:pPr>
      <w:r>
        <w:rPr>
          <w:rFonts w:ascii="Segoe UI" w:eastAsia="Times New Roman" w:hAnsi="Segoe UI" w:cs="Segoe UI"/>
          <w:kern w:val="0"/>
          <w:sz w:val="21"/>
          <w:szCs w:val="21"/>
        </w:rPr>
        <w:t xml:space="preserve">Singapore’s framework validates ADAM’s governance thesis at the regulatory level and provides APAC jurisdictional coverage alongside the EU AI Act, DORA, and NIS2.</w:t>
      </w:r>
    </w:p>
    <w:p w14:paraId="1B000009" w14:textId="2B00000A" w:rsidR="00AA1D8D" w:rsidRDefault="00AA1D8D">
      <w:pPr>
        <w:pStyle w:val="Heading3"/>
        <w:rPr>
          <w:rFonts w:eastAsia="Times New Roman"/>
        </w:rPr>
      </w:pPr>
      <w:bookmarkStart w:id="102" w:name="_TocLegal102"/>
      <w:r>
        <w:rPr>
          <w:rFonts w:eastAsia="Times New Roman"/>
        </w:rPr>
        <w:t>EU Digital Networks Act (DNA) — Adopted January 2026</w:t>
      </w:r>
      <w:bookmarkEnd w:id="102"/>
    </w:p>
    <w:p w14:paraId="1B00000B" w14:textId="2B00000C" w:rsidR="00AA1D8D" w:rsidRDefault="00AA1D8D">
      <w:pPr>
        <w:spacing w:before="100" w:beforeAutospacing="1" w:after="100" w:afterAutospacing="1" w:line="300" w:lineRule="atLeast"/>
      </w:pPr>
      <w:r>
        <w:rPr>
          <w:rFonts w:ascii="Segoe UI" w:eastAsia="Times New Roman" w:hAnsi="Segoe UI" w:cs="Segoe UI"/>
          <w:kern w:val="0"/>
          <w:sz w:val="21"/>
          <w:szCs w:val="21"/>
        </w:rPr>
        <w:t>The European Commission formally adopted the Digital Networks Act proposal on January 21, 2026, consolidating four existing legal instruments into a single directly applicable regulation. The DNA aims to harmonize digital infrastructure governance to enable AI, cloud, and innovative technologies adoption across the EU.</w:t>
      </w:r>
    </w:p>
    <w:p w14:paraId="1B00000D" w14:textId="2B00000E" w:rsidR="00AA1D8D" w:rsidRDefault="00AA1D8D">
      <w:pPr>
        <w:spacing w:before="100" w:beforeAutospacing="1" w:after="100" w:afterAutospacing="1" w:line="300" w:lineRule="atLeast"/>
      </w:pPr>
      <w:r>
        <w:rPr>
          <w:rFonts w:ascii="Segoe UI" w:eastAsia="Times New Roman" w:hAnsi="Segoe UI" w:cs="Segoe UI"/>
          <w:kern w:val="0"/>
          <w:sz w:val="21"/>
          <w:szCs w:val="21"/>
        </w:rPr>
        <w:t>For ADAM, the DNA is relevant because it extends the regulatory surface area beyond AI-specific regulations into the infrastructure layer that autonomous systems depend on. ADAM’s sovereignty-by-design architecture, multi-cloud portability, and interoperability plane are directly responsive to the DNA’s requirements for infrastructure transparency, data residency, and operational resilience. Organizations deploying ADAM in EU jurisdictions should track the DNA alongside the AI Act, DORA, and NIS2 as a fourth regulatory pillar governing the infrastructure substrate.</w:t>
      </w:r>
    </w:p>
    <w:p w14:paraId="1B00000F" w14:textId="2B000010" w:rsidR="00AA1D8D" w:rsidRDefault="00AA1D8D">
      <w:pPr>
        <w:pStyle w:val="Heading2"/>
        <w:rPr>
          <w:rFonts w:eastAsia="Times New Roman"/>
        </w:rPr>
      </w:pPr>
      <w:bookmarkStart w:id="103" w:name="_TocLegal103"/>
      <w:r>
        <w:rPr>
          <w:rFonts w:eastAsia="Times New Roman"/>
        </w:rPr>
        <w:t>Regulatory and Standards Mapping Table</w:t>
      </w:r>
      <w:bookmarkEnd w:id="103"/>
    </w:p>
    <w:p w14:paraId="1B000011" w14:textId="2B000012" w:rsidR="00AA1D8D" w:rsidRDefault="00AA1D8D">
      <w:pPr>
        <w:spacing w:before="100" w:beforeAutospacing="1" w:after="100" w:afterAutospacing="1" w:line="300" w:lineRule="atLeast"/>
      </w:pPr>
      <w:r>
        <w:rPr>
          <w:rFonts w:ascii="Segoe UI" w:eastAsia="Times New Roman" w:hAnsi="Segoe UI" w:cs="Segoe UI"/>
          <w:kern w:val="0"/>
          <w:sz w:val="21"/>
          <w:szCs w:val="21"/>
        </w:rPr>
        <w:t>The following table provides an at-a-glance mapping of how ADAM’s architectural components align with major regulatory frameworks and industry standards across jurisdictions. This mapping demonstrates that ADAM is not designed in isolation—it is architecturally responsive to the global regulatory landscape.</w:t>
      </w:r>
    </w:p>
    <w:tbl>
      <w:tblPr>
        <w:tblW w:type="dxa" w:w="9360"/>
        <w:jc w:val="center"/>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Look w:firstColumn="1" w:firstRow="1" w:lastColumn="0" w:lastRow="0" w:noHBand="0" w:noVBand="1" w:val="04A0"/>
      </w:tblPr>
      <w:tblGrid>
        <w:gridCol w:w="1800"/>
        <w:gridCol w:w="1200"/>
        <w:gridCol w:w="3000"/>
        <w:gridCol w:w="3360"/>
      </w:tblGrid>
      <w:tr>
        <w:tc>
          <w:tcPr>
            <w:tcW w:type="dxa" w:w="1800"/>
            <w:tcBorders>
              <w:top w:val="single" w:sz="4" w:color="1B3A5C" w:space="0"/>
              <w:left w:val="single" w:sz="4" w:color="1B3A5C" w:space="0"/>
              <w:bottom w:val="single" w:sz="4" w:color="1B3A5C" w:space="0"/>
              <w:right w:val="single" w:sz="4" w:color="1B3A5C" w:space="0"/>
            </w:tcBorders>
            <w:shd w:fill="1B3A5C" w:val="clear"/>
          </w:tcPr>
          <w:p w14:paraId="1B000013" w14:textId="2B000014" w:rsidR="00AA1D8D" w:rsidRDefault="00AA1D8D">
            <w:pPr>
              <w:spacing w:before="40" w:after="40"/>
            </w:pPr>
            <w:r>
              <w:rPr>
                <w:rFonts w:ascii="Segoe UI" w:hAnsi="Segoe UI" w:cs="Segoe UI"/>
                <w:b/>
                <w:bCs/>
                <w:color w:val="FFFFFF"/>
                <w:sz w:val="18"/>
                <w:szCs w:val="18"/>
              </w:rPr>
              <w:t>Regulation / Framework</w:t>
            </w:r>
          </w:p>
        </w:tc>
        <w:tc>
          <w:tcPr>
            <w:tcW w:type="dxa" w:w="1200"/>
            <w:tcBorders>
              <w:top w:val="single" w:sz="4" w:color="1B3A5C" w:space="0"/>
              <w:left w:val="single" w:sz="4" w:color="1B3A5C" w:space="0"/>
              <w:bottom w:val="single" w:sz="4" w:color="1B3A5C" w:space="0"/>
              <w:right w:val="single" w:sz="4" w:color="1B3A5C" w:space="0"/>
            </w:tcBorders>
            <w:shd w:fill="1B3A5C" w:val="clear"/>
          </w:tcPr>
          <w:p w14:paraId="1B000015" w14:textId="2B000016" w:rsidR="00AA1D8D" w:rsidRDefault="00AA1D8D">
            <w:pPr>
              <w:spacing w:before="40" w:after="40"/>
            </w:pPr>
            <w:r>
              <w:rPr>
                <w:rFonts w:ascii="Segoe UI" w:hAnsi="Segoe UI" w:cs="Segoe UI"/>
                <w:b/>
                <w:bCs/>
                <w:color w:val="FFFFFF"/>
                <w:sz w:val="18"/>
                <w:szCs w:val="18"/>
              </w:rPr>
              <w:t>Jurisdiction</w:t>
            </w:r>
          </w:p>
        </w:tc>
        <w:tc>
          <w:tcPr>
            <w:tcW w:type="dxa" w:w="3000"/>
            <w:tcBorders>
              <w:top w:val="single" w:sz="4" w:color="1B3A5C" w:space="0"/>
              <w:left w:val="single" w:sz="4" w:color="1B3A5C" w:space="0"/>
              <w:bottom w:val="single" w:sz="4" w:color="1B3A5C" w:space="0"/>
              <w:right w:val="single" w:sz="4" w:color="1B3A5C" w:space="0"/>
            </w:tcBorders>
            <w:shd w:fill="1B3A5C" w:val="clear"/>
          </w:tcPr>
          <w:p w14:paraId="1B000017" w14:textId="2B000018" w:rsidR="00AA1D8D" w:rsidRDefault="00AA1D8D">
            <w:pPr>
              <w:spacing w:before="40" w:after="40"/>
            </w:pPr>
            <w:r>
              <w:rPr>
                <w:rFonts w:ascii="Segoe UI" w:hAnsi="Segoe UI" w:cs="Segoe UI"/>
                <w:b/>
                <w:bCs/>
                <w:color w:val="FFFFFF"/>
                <w:sz w:val="18"/>
                <w:szCs w:val="18"/>
              </w:rPr>
              <w:t>Key ADAM Alignment</w:t>
            </w:r>
          </w:p>
        </w:tc>
        <w:tc>
          <w:tcPr>
            <w:tcW w:type="dxa" w:w="3360"/>
            <w:tcBorders>
              <w:top w:val="single" w:sz="4" w:color="1B3A5C" w:space="0"/>
              <w:left w:val="single" w:sz="4" w:color="1B3A5C" w:space="0"/>
              <w:bottom w:val="single" w:sz="4" w:color="1B3A5C" w:space="0"/>
              <w:right w:val="single" w:sz="4" w:color="1B3A5C" w:space="0"/>
            </w:tcBorders>
            <w:shd w:fill="1B3A5C" w:val="clear"/>
          </w:tcPr>
          <w:p w14:paraId="1B000019" w14:textId="2B00001A" w:rsidR="00AA1D8D" w:rsidRDefault="00AA1D8D">
            <w:pPr>
              <w:spacing w:before="40" w:after="40"/>
            </w:pPr>
            <w:r>
              <w:rPr>
                <w:rFonts w:ascii="Segoe UI" w:hAnsi="Segoe UI" w:cs="Segoe UI"/>
                <w:b/>
                <w:bCs/>
                <w:color w:val="FFFFFF"/>
                <w:sz w:val="18"/>
                <w:szCs w:val="18"/>
              </w:rPr>
              <w:t>ADAM Components</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1B" w14:textId="2B00001C" w:rsidR="00AA1D8D" w:rsidRDefault="00AA1D8D">
            <w:pPr>
              <w:spacing w:before="40" w:after="40"/>
            </w:pPr>
            <w:r>
              <w:rPr>
                <w:rFonts w:ascii="Segoe UI" w:hAnsi="Segoe UI" w:cs="Segoe UI"/>
                <w:sz w:val="18"/>
                <w:szCs w:val="18"/>
              </w:rPr>
              <w:t>EU AI Act</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1D" w14:textId="2B00001E"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1F" w14:textId="2B000020" w:rsidR="00AA1D8D" w:rsidRDefault="00AA1D8D">
            <w:pPr>
              <w:spacing w:before="40" w:after="40"/>
            </w:pPr>
            <w:r>
              <w:rPr>
                <w:rFonts w:ascii="Segoe UI" w:hAnsi="Segoe UI" w:cs="Segoe UI"/>
                <w:sz w:val="18"/>
                <w:szCs w:val="18"/>
              </w:rPr>
              <w:t>Risk classification, human oversight, transparency, documentation</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21" w14:textId="2B000022" w:rsidR="00AA1D8D" w:rsidRDefault="00AA1D8D">
            <w:pPr>
              <w:spacing w:before="40" w:after="40"/>
            </w:pPr>
            <w:r>
              <w:rPr>
                <w:rFonts w:ascii="Segoe UI" w:hAnsi="Segoe UI" w:cs="Segoe UI"/>
                <w:sz w:val="18"/>
                <w:szCs w:val="18"/>
              </w:rPr>
              <w:t>BOSS Score, 5-Director Constitution, Flight Recorder, Evidence Plane</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23" w14:textId="2B000024" w:rsidR="00AA1D8D" w:rsidRDefault="00AA1D8D">
            <w:pPr>
              <w:spacing w:before="40" w:after="40"/>
            </w:pPr>
            <w:r>
              <w:rPr>
                <w:rFonts w:ascii="Segoe UI" w:hAnsi="Segoe UI" w:cs="Segoe UI"/>
                <w:sz w:val="18"/>
                <w:szCs w:val="18"/>
              </w:rPr>
              <w:t>DORA</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25" w14:textId="2B000026" w:rsidR="00AA1D8D" w:rsidRDefault="00AA1D8D">
            <w:pPr>
              <w:spacing w:before="40" w:after="40"/>
            </w:pPr>
            <w:r>
              <w:rPr>
                <w:rFonts w:ascii="Segoe UI" w:hAnsi="Segoe UI" w:cs="Segoe UI"/>
                <w:sz w:val="18"/>
                <w:szCs w:val="18"/>
              </w:rPr>
              <w:t>EU (Financial)</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27" w14:textId="2B000028" w:rsidR="00AA1D8D" w:rsidRDefault="00AA1D8D">
            <w:pPr>
              <w:spacing w:before="40" w:after="40"/>
            </w:pPr>
            <w:r>
              <w:rPr>
                <w:rFonts w:ascii="Segoe UI" w:hAnsi="Segoe UI" w:cs="Segoe UI"/>
                <w:sz w:val="18"/>
                <w:szCs w:val="18"/>
              </w:rPr>
              <w:t>ICT risk management, incident reporting, operational resilience testing</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29" w14:textId="2B00002A" w:rsidR="00AA1D8D" w:rsidRDefault="00AA1D8D">
            <w:pPr>
              <w:spacing w:before="40" w:after="40"/>
            </w:pPr>
            <w:r>
              <w:rPr>
                <w:rFonts w:ascii="Segoe UI" w:hAnsi="Segoe UI" w:cs="Segoe UI"/>
                <w:sz w:val="18"/>
                <w:szCs w:val="18"/>
              </w:rPr>
              <w:t>BC/DR architecture, Flight Recorder, Exception Economy, Digital Twins</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2B" w14:textId="2B00002C" w:rsidR="00AA1D8D" w:rsidRDefault="00AA1D8D">
            <w:pPr>
              <w:spacing w:before="40" w:after="40"/>
            </w:pPr>
            <w:r>
              <w:rPr>
                <w:rFonts w:ascii="Segoe UI" w:hAnsi="Segoe UI" w:cs="Segoe UI"/>
                <w:sz w:val="18"/>
                <w:szCs w:val="18"/>
              </w:rPr>
              <w:t>NIS2 Directive</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2D" w14:textId="2B00002E"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2F" w14:textId="2B000030" w:rsidR="00AA1D8D" w:rsidRDefault="00AA1D8D">
            <w:pPr>
              <w:spacing w:before="40" w:after="40"/>
            </w:pPr>
            <w:r>
              <w:rPr>
                <w:rFonts w:ascii="Segoe UI" w:hAnsi="Segoe UI" w:cs="Segoe UI"/>
                <w:sz w:val="18"/>
                <w:szCs w:val="18"/>
              </w:rPr>
              <w:t>Cybersecurity risk management, supply chain security, incident notification</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31" w14:textId="2B000032" w:rsidR="00AA1D8D" w:rsidRDefault="00AA1D8D">
            <w:pPr>
              <w:spacing w:before="40" w:after="40"/>
            </w:pPr>
            <w:r>
              <w:rPr>
                <w:rFonts w:ascii="Segoe UI" w:hAnsi="Segoe UI" w:cs="Segoe UI"/>
                <w:sz w:val="18"/>
                <w:szCs w:val="18"/>
              </w:rPr>
              <w:t>Security &amp; Trust Plane, Agent Marketplace verification, mTLS/zero-trust</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33" w14:textId="2B000034" w:rsidR="00AA1D8D" w:rsidRDefault="00AA1D8D">
            <w:pPr>
              <w:spacing w:before="40" w:after="40"/>
            </w:pPr>
            <w:r>
              <w:rPr>
                <w:rFonts w:ascii="Segoe UI" w:hAnsi="Segoe UI" w:cs="Segoe UI"/>
                <w:sz w:val="18"/>
                <w:szCs w:val="18"/>
              </w:rPr>
              <w:t>EU Digital Networks Act</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35" w14:textId="2B000036"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37" w14:textId="2B000038" w:rsidR="00AA1D8D" w:rsidRDefault="00AA1D8D">
            <w:pPr>
              <w:spacing w:before="40" w:after="40"/>
            </w:pPr>
            <w:r>
              <w:rPr>
                <w:rFonts w:ascii="Segoe UI" w:hAnsi="Segoe UI" w:cs="Segoe UI"/>
                <w:sz w:val="18"/>
                <w:szCs w:val="18"/>
              </w:rPr>
              <w:t>Infrastructure transparency, interoperability, data residency</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39" w14:textId="2B00003A" w:rsidR="00AA1D8D" w:rsidRDefault="00AA1D8D">
            <w:pPr>
              <w:spacing w:before="40" w:after="40"/>
            </w:pPr>
            <w:r>
              <w:rPr>
                <w:rFonts w:ascii="Segoe UI" w:hAnsi="Segoe UI" w:cs="Segoe UI"/>
                <w:sz w:val="18"/>
                <w:szCs w:val="18"/>
              </w:rPr>
              <w:t>Sovereignty-by-design, Interoperability Plane, multi-cloud portability</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3B" w14:textId="2B00003C" w:rsidR="00AA1D8D" w:rsidRDefault="00AA1D8D">
            <w:pPr>
              <w:spacing w:before="40" w:after="40"/>
            </w:pPr>
            <w:r>
              <w:rPr>
                <w:rFonts w:ascii="Segoe UI" w:hAnsi="Segoe UI" w:cs="Segoe UI"/>
                <w:sz w:val="18"/>
                <w:szCs w:val="18"/>
              </w:rPr>
              <w:t>GDPR</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3D" w14:textId="2B00003E"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3F" w14:textId="2B000040" w:rsidR="00AA1D8D" w:rsidRDefault="00AA1D8D">
            <w:pPr>
              <w:spacing w:before="40" w:after="40"/>
            </w:pPr>
            <w:r>
              <w:rPr>
                <w:rFonts w:ascii="Segoe UI" w:hAnsi="Segoe UI" w:cs="Segoe UI"/>
                <w:sz w:val="18"/>
                <w:szCs w:val="18"/>
              </w:rPr>
              <w:t>Data minimization, purpose limitation, right to explanation</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41" w14:textId="2B000042" w:rsidR="00AA1D8D" w:rsidRDefault="00AA1D8D">
            <w:pPr>
              <w:spacing w:before="40" w:after="40"/>
            </w:pPr>
            <w:r>
              <w:rPr>
                <w:rFonts w:ascii="Segoe UI" w:hAnsi="Segoe UI" w:cs="Segoe UI"/>
                <w:sz w:val="18"/>
                <w:szCs w:val="18"/>
              </w:rPr>
              <w:t>Privacy Lockbox, least-disclosure authorization, Crypto Auth Vault</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43" w14:textId="2B000044" w:rsidR="00AA1D8D" w:rsidRDefault="00AA1D8D">
            <w:pPr>
              <w:spacing w:before="40" w:after="40"/>
            </w:pPr>
            <w:r>
              <w:rPr>
                <w:rFonts w:ascii="Segoe UI" w:hAnsi="Segoe UI" w:cs="Segoe UI"/>
                <w:sz w:val="18"/>
                <w:szCs w:val="18"/>
              </w:rPr>
              <w:t>Singapore IMDA Framework</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45" w14:textId="2B000046" w:rsidR="00AA1D8D" w:rsidRDefault="00AA1D8D">
            <w:pPr>
              <w:spacing w:before="40" w:after="40"/>
            </w:pPr>
            <w:r>
              <w:rPr>
                <w:rFonts w:ascii="Segoe UI" w:hAnsi="Segoe UI" w:cs="Segoe UI"/>
                <w:sz w:val="18"/>
                <w:szCs w:val="18"/>
              </w:rPr>
              <w:t>Singapore / APAC</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47" w14:textId="2B000048" w:rsidR="00AA1D8D" w:rsidRDefault="00AA1D8D">
            <w:pPr>
              <w:spacing w:before="40" w:after="40"/>
            </w:pPr>
            <w:r>
              <w:rPr>
                <w:rFonts w:ascii="Segoe UI" w:hAnsi="Segoe UI" w:cs="Segoe UI"/>
                <w:sz w:val="18"/>
                <w:szCs w:val="18"/>
              </w:rPr>
              <w:t>Risk bounding, human accountability, technical controls</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49" w14:textId="2B00004A" w:rsidR="00AA1D8D" w:rsidRDefault="00AA1D8D">
            <w:pPr>
              <w:spacing w:before="40" w:after="40"/>
            </w:pPr>
            <w:r>
              <w:rPr>
                <w:rFonts w:ascii="Segoe UI" w:hAnsi="Segoe UI" w:cs="Segoe UI"/>
                <w:sz w:val="18"/>
                <w:szCs w:val="18"/>
              </w:rPr>
              <w:t>BOSS Score, 5-Director Constitution, Blueprint Layers 1–3, Trust Gateway</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4B" w14:textId="2B00004C" w:rsidR="00AA1D8D" w:rsidRDefault="00AA1D8D">
            <w:pPr>
              <w:spacing w:before="40" w:after="40"/>
            </w:pPr>
            <w:r>
              <w:rPr>
                <w:rFonts w:ascii="Segoe UI" w:hAnsi="Segoe UI" w:cs="Segoe UI"/>
                <w:sz w:val="18"/>
                <w:szCs w:val="18"/>
              </w:rPr>
              <w:t>ISO/IEC 42001</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4D" w14:textId="2B00004E" w:rsidR="00AA1D8D" w:rsidRDefault="00AA1D8D">
            <w:pPr>
              <w:spacing w:before="40" w:after="40"/>
            </w:pPr>
            <w:r>
              <w:rPr>
                <w:rFonts w:ascii="Segoe UI" w:hAnsi="Segoe UI" w:cs="Segoe UI"/>
                <w:sz w:val="18"/>
                <w:szCs w:val="18"/>
              </w:rPr>
              <w:t>Global</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4F" w14:textId="2B000050" w:rsidR="00AA1D8D" w:rsidRDefault="00AA1D8D">
            <w:pPr>
              <w:spacing w:before="40" w:after="40"/>
            </w:pPr>
            <w:r>
              <w:rPr>
                <w:rFonts w:ascii="Segoe UI" w:hAnsi="Segoe UI" w:cs="Segoe UI"/>
                <w:sz w:val="18"/>
                <w:szCs w:val="18"/>
              </w:rPr>
              <w:t>AI management system, documented decision logic, continual improvement</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51" w14:textId="2B000052" w:rsidR="00AA1D8D" w:rsidRDefault="00AA1D8D">
            <w:pPr>
              <w:spacing w:before="40" w:after="40"/>
            </w:pPr>
            <w:r>
              <w:rPr>
                <w:rFonts w:ascii="Segoe UI" w:hAnsi="Segoe UI" w:cs="Segoe UI"/>
                <w:sz w:val="18"/>
                <w:szCs w:val="18"/>
              </w:rPr>
              <w:t>Governance Model (VIII.4), Evidence Plane, CORE Engine versioning</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53" w14:textId="2B000054" w:rsidR="00AA1D8D" w:rsidRDefault="00AA1D8D">
            <w:pPr>
              <w:spacing w:before="40" w:after="40"/>
            </w:pPr>
            <w:r>
              <w:rPr>
                <w:rFonts w:ascii="Segoe UI" w:hAnsi="Segoe UI" w:cs="Segoe UI"/>
                <w:sz w:val="18"/>
                <w:szCs w:val="18"/>
              </w:rPr>
              <w:t>TOGAF</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55" w14:textId="2B000056" w:rsidR="00AA1D8D" w:rsidRDefault="00AA1D8D">
            <w:pPr>
              <w:spacing w:before="40" w:after="40"/>
            </w:pPr>
            <w:r>
              <w:rPr>
                <w:rFonts w:ascii="Segoe UI" w:hAnsi="Segoe UI" w:cs="Segoe UI"/>
                <w:sz w:val="18"/>
                <w:szCs w:val="18"/>
              </w:rPr>
              <w:t>Global</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57" w14:textId="2B000058" w:rsidR="00AA1D8D" w:rsidRDefault="00AA1D8D">
            <w:pPr>
              <w:spacing w:before="40" w:after="40"/>
            </w:pPr>
            <w:r>
              <w:rPr>
                <w:rFonts w:ascii="Segoe UI" w:hAnsi="Segoe UI" w:cs="Segoe UI"/>
                <w:sz w:val="18"/>
                <w:szCs w:val="18"/>
              </w:rPr>
              <w:t>Architecture governance, lifecycle management, decision records</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59" w14:textId="2B00005A" w:rsidR="00AA1D8D" w:rsidRDefault="00AA1D8D">
            <w:pPr>
              <w:spacing w:before="40" w:after="40"/>
            </w:pPr>
            <w:r>
              <w:rPr>
                <w:rFonts w:ascii="Segoe UI" w:hAnsi="Segoe UI" w:cs="Segoe UI"/>
                <w:sz w:val="18"/>
                <w:szCs w:val="18"/>
              </w:rPr>
              <w:t>Blueprint Layers architecture, CORE Graph, doctrine versioning</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5B" w14:textId="2B00005C" w:rsidR="00AA1D8D" w:rsidRDefault="00AA1D8D">
            <w:pPr>
              <w:spacing w:before="40" w:after="40"/>
            </w:pPr>
            <w:r>
              <w:rPr>
                <w:rFonts w:ascii="Segoe UI" w:hAnsi="Segoe UI" w:cs="Segoe UI"/>
                <w:sz w:val="18"/>
                <w:szCs w:val="18"/>
              </w:rPr>
              <w:t>NIST CSF / SSDF</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5D" w14:textId="2B00005E" w:rsidR="00AA1D8D" w:rsidRDefault="00AA1D8D">
            <w:pPr>
              <w:spacing w:before="40" w:after="40"/>
            </w:pPr>
            <w:r>
              <w:rPr>
                <w:rFonts w:ascii="Segoe UI" w:hAnsi="Segoe UI" w:cs="Segoe UI"/>
                <w:sz w:val="18"/>
                <w:szCs w:val="18"/>
              </w:rPr>
              <w:t>United States</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5F" w14:textId="2B000060" w:rsidR="00AA1D8D" w:rsidRDefault="00AA1D8D">
            <w:pPr>
              <w:spacing w:before="40" w:after="40"/>
            </w:pPr>
            <w:r>
              <w:rPr>
                <w:rFonts w:ascii="Segoe UI" w:hAnsi="Segoe UI" w:cs="Segoe UI"/>
                <w:sz w:val="18"/>
                <w:szCs w:val="18"/>
              </w:rPr>
              <w:t>Identify-Protect-Detect-Respond-Recover, secure development lifecycle</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61" w14:textId="2B000062" w:rsidR="00AA1D8D" w:rsidRDefault="00AA1D8D">
            <w:pPr>
              <w:spacing w:before="40" w:after="40"/>
            </w:pPr>
            <w:r>
              <w:rPr>
                <w:rFonts w:ascii="Segoe UI" w:hAnsi="Segoe UI" w:cs="Segoe UI"/>
                <w:sz w:val="18"/>
                <w:szCs w:val="18"/>
              </w:rPr>
              <w:t>Security &amp; Trust Plane, Agent Marketplace, supply chain integrity</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63" w14:textId="2B000064" w:rsidR="00AA1D8D" w:rsidRDefault="00AA1D8D">
            <w:pPr>
              <w:spacing w:before="40" w:after="40"/>
            </w:pPr>
            <w:r>
              <w:rPr>
                <w:rFonts w:ascii="Segoe UI" w:hAnsi="Segoe UI" w:cs="Segoe UI"/>
                <w:sz w:val="18"/>
                <w:szCs w:val="18"/>
              </w:rPr>
              <w:t>OECD AI Principles</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65" w14:textId="2B000066" w:rsidR="00AA1D8D" w:rsidRDefault="00AA1D8D">
            <w:pPr>
              <w:spacing w:before="40" w:after="40"/>
            </w:pPr>
            <w:r>
              <w:rPr>
                <w:rFonts w:ascii="Segoe UI" w:hAnsi="Segoe UI" w:cs="Segoe UI"/>
                <w:sz w:val="18"/>
                <w:szCs w:val="18"/>
              </w:rPr>
              <w:t>Global (OECD)</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67" w14:textId="2B000068" w:rsidR="00AA1D8D" w:rsidRDefault="00AA1D8D">
            <w:pPr>
              <w:spacing w:before="40" w:after="40"/>
            </w:pPr>
            <w:r>
              <w:rPr>
                <w:rFonts w:ascii="Segoe UI" w:hAnsi="Segoe UI" w:cs="Segoe UI"/>
                <w:sz w:val="18"/>
                <w:szCs w:val="18"/>
              </w:rPr>
              <w:t>Transparency, accountability, robustness, human rights</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69" w14:textId="2B00006A" w:rsidR="00AA1D8D" w:rsidRDefault="00AA1D8D">
            <w:pPr>
              <w:spacing w:before="40" w:after="40"/>
            </w:pPr>
            <w:r>
              <w:rPr>
                <w:rFonts w:ascii="Segoe UI" w:hAnsi="Segoe UI" w:cs="Segoe UI"/>
                <w:sz w:val="18"/>
                <w:szCs w:val="18"/>
              </w:rPr>
              <w:t>Explainability (Flight Recorder), governance model, human override</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6B" w14:textId="2B00006C" w:rsidR="00AA1D8D" w:rsidRDefault="00AA1D8D">
            <w:pPr>
              <w:spacing w:before="40" w:after="40"/>
            </w:pPr>
            <w:r>
              <w:rPr>
                <w:rFonts w:ascii="Segoe UI" w:hAnsi="Segoe UI" w:cs="Segoe UI"/>
                <w:sz w:val="18"/>
                <w:szCs w:val="18"/>
              </w:rPr>
              <w:t>UNESCO AI Ethics</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6D" w14:textId="2B00006E" w:rsidR="00AA1D8D" w:rsidRDefault="00AA1D8D">
            <w:pPr>
              <w:spacing w:before="40" w:after="40"/>
            </w:pPr>
            <w:r>
              <w:rPr>
                <w:rFonts w:ascii="Segoe UI" w:hAnsi="Segoe UI" w:cs="Segoe UI"/>
                <w:sz w:val="18"/>
                <w:szCs w:val="18"/>
              </w:rPr>
              <w:t>Global</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6F" w14:textId="2B000070" w:rsidR="00AA1D8D" w:rsidRDefault="00AA1D8D">
            <w:pPr>
              <w:spacing w:before="40" w:after="40"/>
            </w:pPr>
            <w:r>
              <w:rPr>
                <w:rFonts w:ascii="Segoe UI" w:hAnsi="Segoe UI" w:cs="Segoe UI"/>
                <w:sz w:val="18"/>
                <w:szCs w:val="18"/>
              </w:rPr>
              <w:t>Human dignity, societal well-being, prohibited uses</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71" w14:textId="2B000072" w:rsidR="00AA1D8D" w:rsidRDefault="00AA1D8D">
            <w:pPr>
              <w:spacing w:before="40" w:after="40"/>
            </w:pPr>
            <w:r>
              <w:rPr>
                <w:rFonts w:ascii="Segoe UI" w:hAnsi="Segoe UI" w:cs="Segoe UI"/>
                <w:sz w:val="18"/>
                <w:szCs w:val="18"/>
              </w:rPr>
              <w:t>Fair Use statement, prohibited-use guardrails, ethical impact assessment</w:t>
            </w:r>
          </w:p>
        </w:tc>
      </w:tr>
    </w:tbl>
    <w:p w14:paraId="1B000073" w14:textId="2B000074" w:rsidR="00AA1D8D" w:rsidRDefault="00AA1D8D"/>
    <w:p w14:paraId="47AE688E" w14:textId="2D5E92DA" w:rsidR="00EB3336" w:rsidRDefault="00B6177E" w:rsidP="00B6177E">
      <w:pPr>
        <w:pStyle w:val="Heading1"/>
        <w:rPr>
          <w:lang w:val="en-US"/>
        </w:rPr>
      </w:pPr>
      <w:bookmarkStart w:id="24" w:name="_Toc225361135"/>
      <w:r>
        <w:rPr>
          <w:lang w:val="en-US"/>
        </w:rPr>
        <w:lastRenderedPageBreak/>
        <w:t>Section IV – What ADAM IS NOT: Blatant Legal Interpretations</w:t>
      </w:r>
      <w:bookmarkEnd w:id="24"/>
    </w:p>
    <w:p w14:paraId="17532952" w14:textId="77777777" w:rsidR="00B6177E" w:rsidRPr="00B6177E" w:rsidRDefault="00B6177E" w:rsidP="00B6177E">
      <w:pPr>
        <w:pStyle w:val="Heading2"/>
        <w:rPr>
          <w:rFonts w:eastAsia="Times New Roman"/>
          <w:lang/>
        </w:rPr>
      </w:pPr>
      <w:bookmarkStart w:id="25" w:name="_Toc225361136"/>
      <w:r>
        <w:rPr>
          <w:rFonts w:eastAsia="Times New Roman"/>
          <w:lang/>
        </w:rPr>
        <w:t>(Clarifying Boundaries to Prevent Misinterpretation)</w:t>
      </w:r>
      <w:bookmarkEnd w:id="25"/>
    </w:p>
    <w:p w14:paraId="6C64FD50"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As ADAM introduces a high</w:t>
        <w:noBreakHyphen/>
        <w:t xml:space="preserve">autonomy operating model, it is important to be explicit about what the model does </w:t>
      </w:r>
      <w:r>
        <w:rPr>
          <w:rFonts w:ascii="Segoe UI" w:eastAsia="Times New Roman" w:hAnsi="Segoe UI" w:cs="Segoe UI"/>
          <w:b/>
          <w:bCs/>
          <w:kern w:val="0"/>
          <w:sz w:val="21"/>
          <w:szCs w:val="21"/>
          <w:lang/>
          <w14:ligatures w14:val="none"/>
        </w:rPr>
        <w:t>not</w:t>
      </w:r>
      <w:r>
        <w:rPr>
          <w:rFonts w:ascii="Segoe UI" w:eastAsia="Times New Roman" w:hAnsi="Segoe UI" w:cs="Segoe UI"/>
          <w:kern w:val="0"/>
          <w:sz w:val="21"/>
          <w:szCs w:val="21"/>
          <w:lang/>
          <w14:ligatures w14:val="none"/>
        </w:rPr>
        <w:t xml:space="preserve"> claim, replace, or attempt to redefine. Many of the failures and controversies surrounding autonomous systems arise not from technical shortcomings, but from conceptual ambiguity—particularly where autonomy is mistaken for abdication, intelligence for authority, or execution for governance.</w:t>
      </w:r>
    </w:p>
    <w:p w14:paraId="7956CDAF"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This section exists to prevent those category errors.</w:t>
      </w:r>
    </w:p>
    <w:p w14:paraId="121DBADF" w14:textId="681D46A0" w:rsidR="00B6177E" w:rsidRPr="00B6177E" w:rsidRDefault="00CA0B25" w:rsidP="00CA0B25">
      <w:pPr>
        <w:pStyle w:val="Heading2"/>
        <w:rPr>
          <w:rFonts w:eastAsia="Times New Roman"/>
          <w:lang/>
        </w:rPr>
      </w:pPr>
      <w:bookmarkStart w:id="26" w:name="_Toc225361137"/>
      <w:r>
        <w:rPr>
          <w:rFonts w:eastAsia="Times New Roman"/>
          <w:lang w:val="en-US"/>
        </w:rPr>
        <w:t xml:space="preserve">1. </w:t>
      </w:r>
      <w:r>
        <w:rPr>
          <w:rFonts w:eastAsia="Times New Roman"/>
          <w:lang/>
        </w:rPr>
        <w:t>ADAM is not a legal person</w:t>
      </w:r>
      <w:bookmarkEnd w:id="26"/>
    </w:p>
    <w:p w14:paraId="64EA7146" w14:textId="0156D258"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does not claim legal personality, moral agency, or independent standing under law. It is not a subject of rights or obligations, and it is not an entity capable of bearing liability. All legal responsibility remains with identifiable legal persons and natural persons acting in recognised governance roles.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The doctrine deliberately avoids framing ADAM as an “AI company,” “AI executive,” or “self</w:t>
        <w:noBreakHyphen/>
        <w:t>owning system.” Instead, ADAM is an operating model used by organisations that already exist within legal frameworks. Its purpose is to make responsibility clearer, not to relocate it.</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Any future evolution of legal personhood for artificial systems would require explicit statutory change and is outside the scope of ADAM.</w:t>
      </w:r>
    </w:p>
    <w:p w14:paraId="0E2BAC81" w14:textId="62FAF9C1" w:rsidR="00B6177E" w:rsidRPr="00B6177E" w:rsidRDefault="00CA0B25" w:rsidP="00CA0B25">
      <w:pPr>
        <w:pStyle w:val="Heading2"/>
        <w:rPr>
          <w:rFonts w:eastAsia="Times New Roman"/>
          <w:lang/>
        </w:rPr>
      </w:pPr>
      <w:bookmarkStart w:id="27" w:name="_Toc225361138"/>
      <w:r>
        <w:rPr>
          <w:rFonts w:eastAsia="Times New Roman"/>
          <w:lang w:val="en-US"/>
        </w:rPr>
        <w:t xml:space="preserve">2. </w:t>
      </w:r>
      <w:r>
        <w:rPr>
          <w:rFonts w:eastAsia="Times New Roman"/>
          <w:lang/>
        </w:rPr>
        <w:t>ADAM is not an attempt to remove humans from accountability</w:t>
      </w:r>
      <w:bookmarkEnd w:id="27"/>
    </w:p>
    <w:p w14:paraId="33FFBAAB" w14:textId="31BD5442"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Although ADAM removes humans from routine execution, it does not remove humans from responsibility. On the contrary, the model is intentionally designed to make accountability more concentrated, explicit, and auditable than in traditional organisations.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Humans do not supervise tasks or workflows, but they remain responsible for intent, constraints, risk appetite, and acceptance of outcomes. This distinction is central: ADAM replaces management as an operational function, not responsibility as a legal or ethical one.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Where traditional automation often obscures who “really decided,” ADAM is designed so that accountability is explicit by construction.</w:t>
      </w:r>
    </w:p>
    <w:p w14:paraId="1B31DC99" w14:textId="23247A30" w:rsidR="00B6177E" w:rsidRPr="00B6177E" w:rsidRDefault="00CA0B25" w:rsidP="00CA0B25">
      <w:pPr>
        <w:pStyle w:val="Heading2"/>
        <w:rPr>
          <w:rFonts w:eastAsia="Times New Roman"/>
          <w:lang/>
        </w:rPr>
      </w:pPr>
      <w:bookmarkStart w:id="28" w:name="_Toc225361139"/>
      <w:r>
        <w:rPr>
          <w:rFonts w:eastAsia="Times New Roman"/>
          <w:lang w:val="en-US"/>
        </w:rPr>
        <w:t xml:space="preserve">3. </w:t>
      </w:r>
      <w:r>
        <w:rPr>
          <w:rFonts w:eastAsia="Times New Roman"/>
          <w:lang/>
        </w:rPr>
        <w:t>ADAM is not “human</w:t>
        <w:noBreakHyphen/>
        <w:t>out</w:t>
        <w:noBreakHyphen/>
        <w:t>of</w:t>
        <w:noBreakHyphen/>
        <w:t>the</w:t>
        <w:noBreakHyphen/>
        <w:t>loop” in the regulatory sense</w:t>
      </w:r>
      <w:bookmarkEnd w:id="28"/>
    </w:p>
    <w:p w14:paraId="63E8A688"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phrase “humans are not in the execution loop” should not be confused with the absence of human oversight. ADAM does not argue that autonomous systems should operate without oversight, intervention capability, or suspension authority where risk requires it.</w:t>
      </w:r>
    </w:p>
    <w:p w14:paraId="76450379" w14:textId="7ACD2D9E"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 xml:space="preserve">Instead, ADAM separates </w:t>
      </w:r>
      <w:r>
        <w:rPr>
          <w:rFonts w:ascii="Segoe UI" w:eastAsia="Times New Roman" w:hAnsi="Segoe UI" w:cs="Segoe UI"/>
          <w:b/>
          <w:bCs/>
          <w:kern w:val="0"/>
          <w:sz w:val="21"/>
          <w:szCs w:val="21"/>
          <w:lang/>
          <w14:ligatures w14:val="none"/>
        </w:rPr>
        <w:t>execution</w:t>
      </w:r>
      <w:r>
        <w:rPr>
          <w:rFonts w:ascii="Segoe UI" w:eastAsia="Times New Roman" w:hAnsi="Segoe UI" w:cs="Segoe UI"/>
          <w:kern w:val="0"/>
          <w:sz w:val="21"/>
          <w:szCs w:val="21"/>
          <w:lang/>
          <w14:ligatures w14:val="none"/>
        </w:rPr>
        <w:t xml:space="preserve"> from </w:t>
      </w:r>
      <w:r>
        <w:rPr>
          <w:rFonts w:ascii="Segoe UI" w:eastAsia="Times New Roman" w:hAnsi="Segoe UI" w:cs="Segoe UI"/>
          <w:b/>
          <w:bCs/>
          <w:kern w:val="0"/>
          <w:sz w:val="21"/>
          <w:szCs w:val="21"/>
          <w:lang/>
          <w14:ligatures w14:val="none"/>
        </w:rPr>
        <w:t>oversight</w:t>
      </w:r>
      <w:r>
        <w:rPr>
          <w:rFonts w:ascii="Segoe UI" w:eastAsia="Times New Roman" w:hAnsi="Segoe UI" w:cs="Segoe UI"/>
          <w:kern w:val="0"/>
          <w:sz w:val="21"/>
          <w:szCs w:val="21"/>
          <w:lang/>
          <w14:ligatures w14:val="none"/>
        </w:rPr>
        <w:t>. Humans do not intervene step</w:t>
        <w:noBreakHyphen/>
        <w:t>by</w:t>
        <w:noBreakHyphen/>
        <w:t xml:space="preserve">step, but they retain authority to define boundaries, approve or refuse escalation, throttle autonomy, and </w:t>
        <w:lastRenderedPageBreak/>
        <w:t>suspend operation where necessary. Oversight is implemented as a governance and control</w:t>
        <w:noBreakHyphen/>
        <w:t>plane function, not as manual micromanagement.</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This distinction is intentional and aligns with risk</w:t>
        <w:noBreakHyphen/>
        <w:t>based oversight expectations in modern regulatory frameworks, which emphasise competence, authority, and the ability to intervene rather than continuous manual control.</w:t>
      </w:r>
    </w:p>
    <w:p w14:paraId="20F16A5A" w14:textId="4A25B5DF" w:rsidR="00B6177E" w:rsidRPr="00B6177E" w:rsidRDefault="00CA0B25" w:rsidP="00CA0B25">
      <w:pPr>
        <w:pStyle w:val="Heading2"/>
        <w:rPr>
          <w:rFonts w:eastAsia="Times New Roman"/>
          <w:lang/>
        </w:rPr>
      </w:pPr>
      <w:bookmarkStart w:id="29" w:name="_Toc225361140"/>
      <w:r>
        <w:rPr>
          <w:rFonts w:eastAsia="Times New Roman"/>
          <w:lang w:val="en-US"/>
        </w:rPr>
        <w:t xml:space="preserve">4. </w:t>
      </w:r>
      <w:r>
        <w:rPr>
          <w:rFonts w:eastAsia="Times New Roman"/>
          <w:lang/>
        </w:rPr>
        <w:t>ADAM is not a general</w:t>
        <w:noBreakHyphen/>
        <w:t>purpose agent framework or chatbot architecture</w:t>
      </w:r>
      <w:bookmarkEnd w:id="29"/>
    </w:p>
    <w:p w14:paraId="78CA320F" w14:textId="48FDBDF4"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is not a toolkit for building conversational agents, task assistants, or free</w:t>
        <w:noBreakHyphen/>
        <w:t>form multi</w:t>
        <w:noBreakHyphen/>
        <w:t>agent swarms. It is not designed to maximise model autonomy, emergent behaviour, or creative exploration in isolation.</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Instead, ADAM is an enterprise operating doctrine and reference architecture. Agents exist only within defined roles, bounded authority, and governed orchestration. Intelligence is treated as replaceable; governance, evidence, and constraint enforcement are not.</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Where many agent frameworks optimise for flexibility or experimentation, ADAM optimises for legitimacy, resilience, and auditability under real</w:t>
        <w:noBreakHyphen/>
        <w:t>world constraints.</w:t>
      </w:r>
    </w:p>
    <w:p w14:paraId="1FB7B1C7" w14:textId="59B9CC72" w:rsidR="00B6177E" w:rsidRPr="00B6177E" w:rsidRDefault="00CA0B25" w:rsidP="00CA0B25">
      <w:pPr>
        <w:pStyle w:val="Heading2"/>
        <w:rPr>
          <w:rFonts w:eastAsia="Times New Roman"/>
          <w:lang/>
        </w:rPr>
      </w:pPr>
      <w:bookmarkStart w:id="30" w:name="_Toc225361141"/>
      <w:r>
        <w:rPr>
          <w:rFonts w:eastAsia="Times New Roman"/>
          <w:lang w:val="en-US"/>
        </w:rPr>
        <w:t xml:space="preserve">5. </w:t>
      </w:r>
      <w:r>
        <w:rPr>
          <w:rFonts w:eastAsia="Times New Roman"/>
          <w:lang/>
        </w:rPr>
        <w:t>ADAM is not a DAO, nor “DAO governance with better language”</w:t>
      </w:r>
      <w:bookmarkEnd w:id="30"/>
    </w:p>
    <w:p w14:paraId="5CCA3257" w14:textId="34275956"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Although ADAM selectively borrows ideas from decentralised governance—such as verifiable signals, transparent rules, and auditable decision records—it explicitly rejects execution authority through voting, token weighting, or crowd</w:t>
        <w:noBreakHyphen/>
        <w:t>driven control.</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Influence and execution are separated by design. Signals may inform strategy and doctrine evolution, but they do not directly trigger action. This avoids the well</w:t>
        <w:noBreakHyphen/>
        <w:t>documented failure modes of DAO</w:t>
        <w:noBreakHyphen/>
        <w:t>style systems: paralysis, popularity bias, unclear liability, and governance theatre.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ADAM’s governance model remains legible to boards, regulators, courts, and auditors because authority is always attributable to accountable humans.</w:t>
      </w:r>
    </w:p>
    <w:p w14:paraId="3C21B1BB" w14:textId="33A5E362" w:rsidR="00B6177E" w:rsidRPr="00B6177E" w:rsidRDefault="00CA0B25" w:rsidP="00CA0B25">
      <w:pPr>
        <w:pStyle w:val="Heading2"/>
        <w:rPr>
          <w:rFonts w:eastAsia="Times New Roman"/>
          <w:lang/>
        </w:rPr>
      </w:pPr>
      <w:bookmarkStart w:id="31" w:name="_Toc225361142"/>
      <w:r>
        <w:rPr>
          <w:rFonts w:eastAsia="Times New Roman"/>
          <w:lang w:val="en-US"/>
        </w:rPr>
        <w:t xml:space="preserve">6. </w:t>
      </w:r>
      <w:r>
        <w:rPr>
          <w:rFonts w:eastAsia="Times New Roman"/>
          <w:lang/>
        </w:rPr>
        <w:t>ADAM is not a promise of perfect prediction or omniscient control</w:t>
      </w:r>
      <w:bookmarkEnd w:id="31"/>
    </w:p>
    <w:p w14:paraId="41DF88CD" w14:textId="45FFD673"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makes extensive use of evidence capture, digital twins, simulation, and replay. These mechanisms are intended to improve foresight and reduce blind spots—but they are not claims of certainty.</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Digital twins are treated as analytical instruments, not oracles. Disagreement between models, uncertainty in prediction, or incomplete data are treated as risk signals, not as reasons to proceed with confidence.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The doctrine explicitly rejects the idea that autonomy becomes safe by “being smarter.” It becomes safe by being bounded, explainable, reversible where possible, and accountable when it is not.</w:t>
      </w:r>
    </w:p>
    <w:p w14:paraId="2AAAB36A" w14:textId="4A30EFC0" w:rsidR="00B6177E" w:rsidRPr="00B6177E" w:rsidRDefault="00CA0B25" w:rsidP="00CA0B25">
      <w:pPr>
        <w:pStyle w:val="Heading2"/>
        <w:rPr>
          <w:rFonts w:eastAsia="Times New Roman"/>
          <w:lang/>
        </w:rPr>
      </w:pPr>
      <w:bookmarkStart w:id="32" w:name="_Toc225361143"/>
      <w:r>
        <w:rPr>
          <w:rFonts w:eastAsia="Times New Roman"/>
          <w:lang w:val="en-US"/>
        </w:rPr>
        <w:t xml:space="preserve">7. </w:t>
      </w:r>
      <w:r>
        <w:rPr>
          <w:rFonts w:eastAsia="Times New Roman"/>
          <w:lang/>
        </w:rPr>
        <w:t>ADAM is not self</w:t>
        <w:noBreakHyphen/>
        <w:t>governing in the philosophical sense</w:t>
      </w:r>
      <w:bookmarkEnd w:id="32"/>
    </w:p>
    <w:p w14:paraId="074C8118" w14:textId="26C90E64"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While ADAM includes self</w:t>
        <w:noBreakHyphen/>
        <w:t>monitoring, self</w:t>
        <w:noBreakHyphen/>
        <w:t>audit, and stability mechanisms, it is not self</w:t>
        <w:noBreakHyphen/>
        <w:t>governing in the sense of defining its own values or objectives. The system may detect drift, surface conflicts, and propose changes—but it does not author its own purpose.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Intent remains human</w:t>
        <w:noBreakHyphen/>
        <w:t>defined. Value conflicts are escalated, not resolved silently. Doctrine does not evolve through optimisation pressure alone.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 xml:space="preserve">This distinction is critical to maintaining coherence with </w:t>
        <w:lastRenderedPageBreak/>
        <w:t>rule</w:t>
        <w:noBreakHyphen/>
        <w:t>of</w:t>
        <w:noBreakHyphen/>
        <w:t>law principles: machines may analyse consequences, but humans remain authors of meaning.</w:t>
      </w:r>
    </w:p>
    <w:p w14:paraId="537333DB" w14:textId="42C0957E" w:rsidR="00B6177E" w:rsidRPr="00B6177E" w:rsidRDefault="00CA0B25" w:rsidP="00CA0B25">
      <w:pPr>
        <w:pStyle w:val="Heading2"/>
        <w:rPr>
          <w:rFonts w:eastAsia="Times New Roman"/>
          <w:lang/>
        </w:rPr>
      </w:pPr>
      <w:bookmarkStart w:id="33" w:name="_Toc225361144"/>
      <w:r>
        <w:rPr>
          <w:rFonts w:eastAsia="Times New Roman"/>
          <w:lang w:val="en-US"/>
        </w:rPr>
        <w:t xml:space="preserve">8. </w:t>
      </w:r>
      <w:r>
        <w:rPr>
          <w:rFonts w:eastAsia="Times New Roman"/>
          <w:lang/>
        </w:rPr>
        <w:t>ADAM is not a way to bypass regulation, compliance, or audit</w:t>
      </w:r>
      <w:bookmarkEnd w:id="33"/>
    </w:p>
    <w:p w14:paraId="4F50959D" w14:textId="49CE1ADC"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does not position regulation as an external constraint to be worked around. Regulation, compliance, and auditability are treated as architectural inputs.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The model is designed so that evidence, traceability, and accountability are produced as normal system outputs rather than assembled after the fact. Where regulations impose obligations—such as oversight, incident reporting, or suspension capability—ADAM implements them as runtime controls rather than procedural checklists.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 this sense, ADAM does not reduce governance; it operationalises it.</w:t>
      </w:r>
    </w:p>
    <w:p w14:paraId="4B0E1584" w14:textId="071167C8" w:rsidR="00B6177E" w:rsidRPr="00B6177E" w:rsidRDefault="00CA0B25" w:rsidP="00CA0B25">
      <w:pPr>
        <w:pStyle w:val="Heading2"/>
        <w:rPr>
          <w:rFonts w:eastAsia="Times New Roman"/>
          <w:lang/>
        </w:rPr>
      </w:pPr>
      <w:bookmarkStart w:id="34" w:name="_Toc225361145"/>
      <w:r>
        <w:rPr>
          <w:rFonts w:eastAsia="Times New Roman"/>
          <w:lang w:val="en-US"/>
        </w:rPr>
        <w:t xml:space="preserve">9. </w:t>
      </w:r>
      <w:r>
        <w:rPr>
          <w:rFonts w:eastAsia="Times New Roman"/>
          <w:lang/>
        </w:rPr>
        <w:t>ADAM is not a claim that “full autonomy” is always appropriate</w:t>
      </w:r>
      <w:bookmarkEnd w:id="34"/>
    </w:p>
    <w:p w14:paraId="0CBBCF79" w14:textId="4B6BCB00"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describes how high or full autonomy can be operated safely and legitimately. It does not claim that every organisation, domain, or jurisdiction should adopt that level of autonomy.</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Autonomy in ADAM is a configurable property, not a moral imperative. Domains with irreversible harm, insufficient data quality, or unresolved legal ambiguity may remain partially autonomous or escalation</w:t>
        <w:noBreakHyphen/>
        <w:t>heavy by design.</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 xml:space="preserve">The doctrine is explicit about this: autonomy is something to be </w:t>
      </w:r>
      <w:r>
        <w:rPr>
          <w:rFonts w:ascii="Segoe UI" w:eastAsia="Times New Roman" w:hAnsi="Segoe UI" w:cs="Segoe UI"/>
          <w:i/>
          <w:iCs/>
          <w:kern w:val="0"/>
          <w:sz w:val="21"/>
          <w:szCs w:val="21"/>
          <w:lang/>
          <w14:ligatures w14:val="none"/>
        </w:rPr>
        <w:t>earned through evidence and constraint</w:t>
      </w:r>
      <w:r>
        <w:rPr>
          <w:rFonts w:ascii="Segoe UI" w:eastAsia="Times New Roman" w:hAnsi="Segoe UI" w:cs="Segoe UI"/>
          <w:kern w:val="0"/>
          <w:sz w:val="21"/>
          <w:szCs w:val="21"/>
          <w:lang/>
          <w14:ligatures w14:val="none"/>
        </w:rPr>
        <w:t>, not asserted by ambition.</w:t>
      </w:r>
    </w:p>
    <w:p w14:paraId="2225F144" w14:textId="2B07C28C" w:rsidR="00B6177E" w:rsidRPr="00B6177E" w:rsidRDefault="00CA0B25" w:rsidP="003F6D94">
      <w:pPr>
        <w:pStyle w:val="Heading2"/>
        <w:rPr>
          <w:rFonts w:eastAsia="Times New Roman"/>
          <w:lang/>
        </w:rPr>
      </w:pPr>
      <w:bookmarkStart w:id="35" w:name="_Toc225361146"/>
      <w:r>
        <w:rPr>
          <w:rFonts w:eastAsia="Times New Roman"/>
          <w:lang w:val="en-US"/>
        </w:rPr>
        <w:t xml:space="preserve">10. </w:t>
      </w:r>
      <w:r>
        <w:rPr>
          <w:rFonts w:eastAsia="Times New Roman"/>
          <w:lang/>
        </w:rPr>
        <w:t>Why these “nots” matter</w:t>
      </w:r>
      <w:bookmarkEnd w:id="35"/>
    </w:p>
    <w:p w14:paraId="7A5E1E98" w14:textId="0846D135"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purpose of this section is not rhetorical distancing; it is operational clarity. Autonomous systems fail socially and legally when they are misunderstood—by designers, by executives, by regulators, or by the public.</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By stating clearly what ADAM is not, the doctrine reduces the risk that autonomy is misinterpreted as irresponsibility, opacity, or overreach. It establishes the conceptual guardrails within which the rest of the book should be read.</w:t>
      </w:r>
    </w:p>
    <w:p w14:paraId="07C8ADF3"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is an attempt to make autonomy governable in the real world—not to escape the structures that make legitimacy possible.</w:t>
      </w:r>
    </w:p>
    <w:p w14:paraId="716B99D3" w14:textId="77777777" w:rsidR="00B6177E" w:rsidRPr="00B6177E" w:rsidRDefault="00B6177E"/>
    <w:sectPr w:rsidR="00B6177E" w:rsidRPr="00B617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E7EF2"/>
    <w:multiLevelType w:val="multilevel"/>
    <w:tmpl w:val="BCE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8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36"/>
    <w:rsid w:val="000E1771"/>
    <w:rsid w:val="003F6D94"/>
    <w:rsid w:val="00B6177E"/>
    <w:rsid w:val="00BD517C"/>
    <w:rsid w:val="00CA0B25"/>
    <w:rsid w:val="00DB4E4D"/>
    <w:rsid w:val="00EB33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D06D"/>
  <w15:chartTrackingRefBased/>
  <w15:docId w15:val="{CFB47A2F-1440-4878-874D-B131BB48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336"/>
  </w:style>
  <w:style w:type="paragraph" w:styleId="Heading1">
    <w:name w:val="heading 1"/>
    <w:basedOn w:val="Normal"/>
    <w:next w:val="Normal"/>
    <w:link w:val="Heading1Char"/>
    <w:uiPriority w:val="9"/>
    <w:qFormat/>
    <w:rsid w:val="00EB3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3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3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3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3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36"/>
    <w:rPr>
      <w:rFonts w:eastAsiaTheme="majorEastAsia" w:cstheme="majorBidi"/>
      <w:color w:val="272727" w:themeColor="text1" w:themeTint="D8"/>
    </w:rPr>
  </w:style>
  <w:style w:type="paragraph" w:styleId="Title">
    <w:name w:val="Title"/>
    <w:basedOn w:val="Normal"/>
    <w:next w:val="Normal"/>
    <w:link w:val="TitleChar"/>
    <w:uiPriority w:val="10"/>
    <w:qFormat/>
    <w:rsid w:val="00EB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36"/>
    <w:pPr>
      <w:spacing w:before="160"/>
      <w:jc w:val="center"/>
    </w:pPr>
    <w:rPr>
      <w:i/>
      <w:iCs/>
      <w:color w:val="404040" w:themeColor="text1" w:themeTint="BF"/>
    </w:rPr>
  </w:style>
  <w:style w:type="character" w:customStyle="1" w:styleId="QuoteChar">
    <w:name w:val="Quote Char"/>
    <w:basedOn w:val="DefaultParagraphFont"/>
    <w:link w:val="Quote"/>
    <w:uiPriority w:val="29"/>
    <w:rsid w:val="00EB3336"/>
    <w:rPr>
      <w:i/>
      <w:iCs/>
      <w:color w:val="404040" w:themeColor="text1" w:themeTint="BF"/>
    </w:rPr>
  </w:style>
  <w:style w:type="paragraph" w:styleId="ListParagraph">
    <w:name w:val="List Paragraph"/>
    <w:basedOn w:val="Normal"/>
    <w:uiPriority w:val="34"/>
    <w:qFormat/>
    <w:rsid w:val="00EB3336"/>
    <w:pPr>
      <w:ind w:left="720"/>
      <w:contextualSpacing/>
    </w:pPr>
  </w:style>
  <w:style w:type="character" w:styleId="IntenseEmphasis">
    <w:name w:val="Intense Emphasis"/>
    <w:basedOn w:val="DefaultParagraphFont"/>
    <w:uiPriority w:val="21"/>
    <w:qFormat/>
    <w:rsid w:val="00EB3336"/>
    <w:rPr>
      <w:i/>
      <w:iCs/>
      <w:color w:val="2F5496" w:themeColor="accent1" w:themeShade="BF"/>
    </w:rPr>
  </w:style>
  <w:style w:type="paragraph" w:styleId="IntenseQuote">
    <w:name w:val="Intense Quote"/>
    <w:basedOn w:val="Normal"/>
    <w:next w:val="Normal"/>
    <w:link w:val="IntenseQuoteChar"/>
    <w:uiPriority w:val="30"/>
    <w:qFormat/>
    <w:rsid w:val="00EB3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336"/>
    <w:rPr>
      <w:i/>
      <w:iCs/>
      <w:color w:val="2F5496" w:themeColor="accent1" w:themeShade="BF"/>
    </w:rPr>
  </w:style>
  <w:style w:type="character" w:styleId="IntenseReference">
    <w:name w:val="Intense Reference"/>
    <w:basedOn w:val="DefaultParagraphFont"/>
    <w:uiPriority w:val="32"/>
    <w:qFormat/>
    <w:rsid w:val="00EB3336"/>
    <w:rPr>
      <w:b/>
      <w:bCs/>
      <w:smallCaps/>
      <w:color w:val="2F5496" w:themeColor="accent1" w:themeShade="BF"/>
      <w:spacing w:val="5"/>
    </w:rPr>
  </w:style>
  <w:style w:type="paragraph" w:styleId="TOCHeading">
    <w:name w:val="TOC Heading"/>
    <w:basedOn w:val="Heading1"/>
    <w:next w:val="Normal"/>
    <w:uiPriority w:val="39"/>
    <w:unhideWhenUsed/>
    <w:qFormat/>
    <w:rsid w:val="00DB4E4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B4E4D"/>
    <w:pPr>
      <w:spacing w:after="100"/>
    </w:pPr>
  </w:style>
  <w:style w:type="paragraph" w:styleId="TOC2">
    <w:name w:val="toc 2"/>
    <w:basedOn w:val="Normal"/>
    <w:next w:val="Normal"/>
    <w:autoRedefine/>
    <w:uiPriority w:val="39"/>
    <w:unhideWhenUsed/>
    <w:rsid w:val="00DB4E4D"/>
    <w:pPr>
      <w:spacing w:after="100"/>
      <w:ind w:left="240"/>
    </w:pPr>
  </w:style>
  <w:style w:type="paragraph" w:styleId="TOC3">
    <w:name w:val="toc 3"/>
    <w:basedOn w:val="Normal"/>
    <w:next w:val="Normal"/>
    <w:autoRedefine/>
    <w:uiPriority w:val="39"/>
    <w:unhideWhenUsed/>
    <w:rsid w:val="00DB4E4D"/>
    <w:pPr>
      <w:spacing w:after="100"/>
      <w:ind w:left="480"/>
    </w:pPr>
  </w:style>
  <w:style w:type="character" w:styleId="Hyperlink">
    <w:name w:val="Hyperlink"/>
    <w:basedOn w:val="DefaultParagraphFont"/>
    <w:uiPriority w:val="99"/>
    <w:unhideWhenUsed/>
    <w:rsid w:val="00DB4E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4885</Words>
  <Characters>27847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Lamb</dc:creator>
  <cp:keywords/>
  <dc:description/>
  <cp:lastModifiedBy>Michael Lamb</cp:lastModifiedBy>
  <cp:revision>4</cp:revision>
  <dcterms:created xsi:type="dcterms:W3CDTF">2026-03-25T18:30:00Z</dcterms:created>
  <dcterms:modified xsi:type="dcterms:W3CDTF">2026-03-25T18:58:00Z</dcterms:modified>
</cp:coreProperties>
</file>