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4E79"/>
          <w:sz w:val="56"/>
          <w:szCs w:val="56"/>
        </w:rPr>
        <w:t xml:space="preserve">BOSS Score Formulas</w:t>
      </w:r>
    </w:p>
    <w:p>
      <w:pPr>
        <w:jc w:val="center"/>
      </w:pPr>
      <w:r>
        <w:rPr>
          <w:rFonts w:ascii="Arial" w:cs="Arial" w:eastAsia="Arial" w:hAnsi="Arial"/>
          <w:color w:val="2E75B6"/>
          <w:sz w:val="28"/>
          <w:szCs w:val="28"/>
        </w:rPr>
        <w:t xml:space="preserve">Business Operations Sovereignty Score</w:t>
      </w:r>
    </w:p>
    <w:p>
      <w:pPr>
        <w:spacing w:before="200"/>
        <w:jc w:val="center"/>
      </w:pPr>
      <w:r>
        <w:rPr>
          <w:rFonts w:ascii="Arial" w:cs="Arial" w:eastAsia="Arial" w:hAnsi="Arial"/>
          <w:color w:val="404040"/>
          <w:sz w:val="22"/>
          <w:szCs w:val="22"/>
        </w:rPr>
        <w:t xml:space="preserve">Comprehensive Scoring Methodology, Framework Attribution,</w:t>
      </w:r>
    </w:p>
    <w:p>
      <w:pPr>
        <w:jc w:val="center"/>
      </w:pPr>
      <w:r>
        <w:rPr>
          <w:rFonts w:ascii="Arial" w:cs="Arial" w:eastAsia="Arial" w:hAnsi="Arial"/>
          <w:color w:val="404040"/>
          <w:sz w:val="22"/>
          <w:szCs w:val="22"/>
        </w:rPr>
        <w:t xml:space="preserve">and Dimensional Calculation Specifications</w:t>
      </w:r>
    </w:p>
    <w:p>
      <w:pPr>
        <w:spacing w:before="400"/>
        <w:jc w:val="center"/>
      </w:pPr>
      <w:r>
        <w:rPr>
          <w:rFonts w:ascii="Arial" w:cs="Arial" w:eastAsia="Arial" w:hAnsi="Arial"/>
          <w:b/>
          <w:bCs/>
          <w:color w:val="1F4E79"/>
          <w:sz w:val="24"/>
          <w:szCs w:val="24"/>
        </w:rPr>
        <w:t xml:space="preserve">ADAM — Autonomy Doctrine &amp; Architecture Model</w:t>
      </w:r>
    </w:p>
    <w:p>
      <w:pPr>
        <w:spacing w:before="200"/>
        <w:jc w:val="center"/>
      </w:pPr>
      <w:r>
        <w:rPr>
          <w:rFonts w:ascii="Arial" w:cs="Arial" w:eastAsia="Arial" w:hAnsi="Arial"/>
          <w:color w:val="808080"/>
          <w:sz w:val="22"/>
          <w:szCs w:val="22"/>
        </w:rPr>
        <w:t xml:space="preserve">Version 3.2 | Priority Tier Edition | April 2026</w:t>
      </w:r>
    </w:p>
    <w:p>
      <w:pPr>
        <w:spacing w:before="100"/>
        <w:jc w:val="center"/>
      </w:pPr>
      <w:r>
        <w:rPr>
          <w:rFonts w:ascii="Arial" w:cs="Arial" w:eastAsia="Arial" w:hAnsi="Arial"/>
          <w:color w:val="AAAAAA"/>
          <w:sz w:val="20"/>
          <w:szCs w:val="20"/>
        </w:rPr>
        <w:t xml:space="preserve">Classification: Open Source | Jurisdiction: Global | Industry-Agnostic | Product-Agnostic</w:t>
      </w:r>
    </w:p>
    <w:p>
      <w:r>
        <w:br w:type="page"/>
      </w:r>
    </w:p>
    <w:p>
      <w:pPr>
        <w:pStyle w:val="Heading1"/>
        <w:spacing w:after="200" w:before="360"/>
      </w:pPr>
      <w:r>
        <w:rPr>
          <w:rFonts w:ascii="Arial" w:cs="Arial" w:eastAsia="Arial" w:hAnsi="Arial"/>
          <w:b/>
          <w:bCs/>
          <w:color w:val="1F4E79"/>
          <w:sz w:val="36"/>
          <w:szCs w:val="36"/>
        </w:rPr>
        <w:t xml:space="preserve">1. Executive Summary and Document Purpose</w:t>
      </w:r>
    </w:p>
    <w:p>
      <w:pPr>
        <w:spacing w:after="120" w:before="80"/>
      </w:pPr>
      <w:r>
        <w:rPr>
          <w:rFonts w:ascii="Arial" w:cs="Arial" w:eastAsia="Arial" w:hAnsi="Arial"/>
          <w:sz w:val="22"/>
          <w:szCs w:val="22"/>
        </w:rPr>
        <w:t xml:space="preserve">The Business Operations Sovereignty Score (BOSS) is ADAM’s universal scoring system for autonomous action. It replaces intuition and gut checks with measurable, explainable assessment of consequence. Every action an ADAM agent proposes carries a BOSS score. Not a vibe—a score.</w:t>
      </w:r>
    </w:p>
    <w:p>
      <w:pPr>
        <w:spacing w:after="120" w:before="80"/>
      </w:pPr>
      <w:r>
        <w:rPr>
          <w:rFonts w:ascii="Arial" w:cs="Arial" w:eastAsia="Arial" w:hAnsi="Arial"/>
          <w:sz w:val="22"/>
          <w:szCs w:val="22"/>
        </w:rPr>
        <w:t xml:space="preserve">BOSS evaluates proposed actions across seven independent dimensions, each assigned a Priority Tier by the organization’s directors during DNA Questionnaire deployment. The weighted composite score routes the action to one of five escalation tiers, from full autonomous execution (SOAP) to immediate escalation to the CEO and all directors (OHSHAT).</w:t>
      </w:r>
    </w:p>
    <w:p>
      <w:pPr>
        <w:pStyle w:val="Heading2"/>
        <w:spacing w:after="160" w:before="280"/>
      </w:pPr>
      <w:r>
        <w:rPr>
          <w:rFonts w:ascii="Arial" w:cs="Arial" w:eastAsia="Arial" w:hAnsi="Arial"/>
          <w:b/>
          <w:bCs/>
          <w:color w:val="2E75B6"/>
          <w:sz w:val="28"/>
          <w:szCs w:val="28"/>
        </w:rPr>
        <w:t xml:space="preserve">1.1 What’s New in v3.2</w:t>
      </w:r>
    </w:p>
    <w:p>
      <w:pPr>
        <w:pStyle w:val="ListParagraph"/>
        <w:numPr>
          <w:ilvl w:val="0"/>
          <w:numId w:val="2"/>
        </w:numPr>
        <w:spacing w:after="40" w:before="40"/>
      </w:pPr>
      <w:r>
        <w:rPr>
          <w:rFonts w:ascii="Arial" w:cs="Arial" w:eastAsia="Arial" w:hAnsi="Arial"/>
          <w:b/>
          <w:bCs/>
          <w:sz w:val="22"/>
          <w:szCs w:val="22"/>
        </w:rPr>
        <w:t xml:space="preserve">Priority Tier Weighting System: </w:t>
      </w:r>
      <w:r>
        <w:rPr>
          <w:rFonts w:ascii="Arial" w:cs="Arial" w:eastAsia="Arial" w:hAnsi="Arial"/>
          <w:sz w:val="22"/>
          <w:szCs w:val="22"/>
        </w:rPr>
        <w:t xml:space="preserve">Replaces opaque numeric weights with a human-readable scale (Top, Very High, High, Medium, Low, Very Low) that directors assign during DNA Questionnaire deployment.</w:t>
      </w:r>
    </w:p>
    <w:p>
      <w:pPr>
        <w:pStyle w:val="ListParagraph"/>
        <w:numPr>
          <w:ilvl w:val="0"/>
          <w:numId w:val="2"/>
        </w:numPr>
        <w:spacing w:after="40" w:before="40"/>
      </w:pPr>
      <w:r>
        <w:rPr>
          <w:rFonts w:ascii="Arial" w:cs="Arial" w:eastAsia="Arial" w:hAnsi="Arial"/>
          <w:b/>
          <w:bCs/>
          <w:sz w:val="22"/>
          <w:szCs w:val="22"/>
        </w:rPr>
        <w:t xml:space="preserve">Equalized Contributions: </w:t>
      </w:r>
      <w:r>
        <w:rPr>
          <w:rFonts w:ascii="Arial" w:cs="Arial" w:eastAsia="Arial" w:hAnsi="Arial"/>
          <w:sz w:val="22"/>
          <w:szCs w:val="22"/>
        </w:rPr>
        <w:t xml:space="preserve">Dimensions at the same priority tier always carry identical contribution percentages—no hidden decimal differences.</w:t>
      </w:r>
    </w:p>
    <w:p>
      <w:pPr>
        <w:pStyle w:val="ListParagraph"/>
        <w:numPr>
          <w:ilvl w:val="0"/>
          <w:numId w:val="2"/>
        </w:numPr>
        <w:spacing w:after="40" w:before="40"/>
      </w:pPr>
      <w:r>
        <w:rPr>
          <w:rFonts w:ascii="Arial" w:cs="Arial" w:eastAsia="Arial" w:hAnsi="Arial"/>
          <w:b/>
          <w:bCs/>
          <w:sz w:val="22"/>
          <w:szCs w:val="22"/>
        </w:rPr>
        <w:t xml:space="preserve">Top Constraint: </w:t>
      </w:r>
      <w:r>
        <w:rPr>
          <w:rFonts w:ascii="Arial" w:cs="Arial" w:eastAsia="Arial" w:hAnsi="Arial"/>
          <w:sz w:val="22"/>
          <w:szCs w:val="22"/>
        </w:rPr>
        <w:t xml:space="preserve">Only one dimension may be designated Top, forcing a genuine strategic prioritization decision.</w:t>
      </w:r>
    </w:p>
    <w:p>
      <w:pPr>
        <w:pStyle w:val="ListParagraph"/>
        <w:numPr>
          <w:ilvl w:val="0"/>
          <w:numId w:val="2"/>
        </w:numPr>
        <w:spacing w:after="40" w:before="40"/>
      </w:pPr>
      <w:r>
        <w:rPr>
          <w:rFonts w:ascii="Arial" w:cs="Arial" w:eastAsia="Arial" w:hAnsi="Arial"/>
          <w:b/>
          <w:bCs/>
          <w:sz w:val="22"/>
          <w:szCs w:val="22"/>
        </w:rPr>
        <w:t xml:space="preserve">Automatic Weight Translation: </w:t>
      </w:r>
      <w:r>
        <w:rPr>
          <w:rFonts w:ascii="Arial" w:cs="Arial" w:eastAsia="Arial" w:hAnsi="Arial"/>
          <w:sz w:val="22"/>
          <w:szCs w:val="22"/>
        </w:rPr>
        <w:t xml:space="preserve">Priority tiers translate to numeric weights (5.0, 4.0, 3.0, 2.0, 1.0, 0.5) for formula calculation. Directors speak in tiers; the scoring engine calculates in weights.</w:t>
      </w:r>
    </w:p>
    <w:p>
      <w:pPr>
        <w:spacing w:after="120" w:before="80"/>
      </w:pPr>
      <w:r>
        <w:rPr>
          <w:rFonts w:ascii="Arial" w:cs="Arial" w:eastAsia="Arial" w:hAnsi="Arial"/>
          <w:sz w:val="22"/>
          <w:szCs w:val="22"/>
        </w:rPr>
        <w:t xml:space="preserve">All sub-component formulas, threshold tables, and worked examples from v3.1 remain valid. Only the dimension weighting system and composite formula denominator have changed.</w:t>
      </w:r>
    </w:p>
    <w:p>
      <w:r>
        <w:br w:type="page"/>
      </w:r>
    </w:p>
    <w:p>
      <w:pPr>
        <w:pStyle w:val="Heading1"/>
        <w:spacing w:after="200" w:before="360"/>
      </w:pPr>
      <w:r>
        <w:rPr>
          <w:rFonts w:ascii="Arial" w:cs="Arial" w:eastAsia="Arial" w:hAnsi="Arial"/>
          <w:b/>
          <w:bCs/>
          <w:color w:val="1F4E79"/>
          <w:sz w:val="36"/>
          <w:szCs w:val="36"/>
        </w:rPr>
        <w:t xml:space="preserve">2. Priority Tier Weighting System</w:t>
      </w:r>
    </w:p>
    <w:p>
      <w:pPr>
        <w:spacing w:after="120" w:before="80"/>
      </w:pPr>
      <w:r>
        <w:rPr>
          <w:rFonts w:ascii="Arial" w:cs="Arial" w:eastAsia="Arial" w:hAnsi="Arial"/>
          <w:sz w:val="22"/>
          <w:szCs w:val="22"/>
        </w:rPr>
        <w:t xml:space="preserve">ADAM replaces arbitrary numeric weights with a human-readable Priority Tier scale. Instead of debating whether Security should be weighted 4.6 or 4.8, directors assign each dimension a priority tier that reflects its relative importance to the enterprise’s risk posture. The system translates these tiers into precise numeric weights automatically.</w:t>
      </w:r>
    </w:p>
    <w:p>
      <w:pPr>
        <w:pStyle w:val="Heading2"/>
        <w:spacing w:after="160" w:before="280"/>
      </w:pPr>
      <w:r>
        <w:rPr>
          <w:rFonts w:ascii="Arial" w:cs="Arial" w:eastAsia="Arial" w:hAnsi="Arial"/>
          <w:b/>
          <w:bCs/>
          <w:color w:val="2E75B6"/>
          <w:sz w:val="28"/>
          <w:szCs w:val="28"/>
        </w:rPr>
        <w:t xml:space="preserve">2.1 The Priority Tier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560"/>
        <w:gridCol w:w="520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 Tier</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5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Assign This Tier</w:t>
            </w:r>
          </w:p>
        </w:tc>
      </w:tr>
      <w:tr>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6A1B9A"/>
                <w:sz w:val="20"/>
                <w:szCs w:val="20"/>
              </w:rPr>
              <w:t xml:space="preserve">Top</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5.0</w:t>
            </w:r>
          </w:p>
        </w:tc>
        <w:tc>
          <w:tcPr>
            <w:tcW w:type="dxa" w:w="1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6A1B9A"/>
                <w:sz w:val="20"/>
                <w:szCs w:val="20"/>
              </w:rPr>
              <w:t xml:space="preserve">ONLY 1 allowed</w:t>
            </w:r>
          </w:p>
        </w:tc>
        <w:tc>
          <w:tcPr>
            <w:tcW w:type="dxa" w:w="5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The single most critical risk dimension. The one that keeps the CISO or CEO awake. If everything is the highest priority, nothing is.</w:t>
            </w:r>
          </w:p>
        </w:tc>
      </w:tr>
      <w:tr>
        <w:tc>
          <w:tcPr>
            <w:tcW w:type="dxa" w:w="1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C62828"/>
                <w:sz w:val="20"/>
                <w:szCs w:val="20"/>
              </w:rPr>
              <w:t xml:space="preserve">Very High</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4.0</w:t>
            </w:r>
          </w:p>
        </w:tc>
        <w:tc>
          <w:tcPr>
            <w:tcW w:type="dxa" w:w="1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Multiple allowed</w:t>
            </w:r>
          </w:p>
        </w:tc>
        <w:tc>
          <w:tcPr>
            <w:tcW w:type="dxa" w:w="5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Dimensions where failure creates existential or severe enterprise-level consequences. Loss in these areas threatens the organization’s ability to operate.</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3.0</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Multiple allowed</w:t>
            </w:r>
          </w:p>
        </w:tc>
        <w:tc>
          <w:tcPr>
            <w:tcW w:type="dxa" w:w="5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Dimensions requiring active governance and monitoring. Material risk that demands attention but is not existential on its own.</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2.0</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Multiple allowed</w:t>
            </w:r>
          </w:p>
        </w:tc>
        <w:tc>
          <w:tcPr>
            <w:tcW w:type="dxa" w:w="5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Dimensions tracked for compliance and alignment, but with lower operational urgency. Important to measure, less likely to drive immediate escalation.</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Multiple allowed</w:t>
            </w:r>
          </w:p>
        </w:tc>
        <w:tc>
          <w:tcPr>
            <w:tcW w:type="dxa" w:w="5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Dimensions monitored but unlikely to drive escalation in normal operations. Baseline visibility without consuming governance bandwidth.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08080"/>
                <w:sz w:val="20"/>
                <w:szCs w:val="20"/>
              </w:rPr>
              <w:t xml:space="preserve">Very Low</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Multiple allowed</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Dimensions with minimal risk exposure in this enterprise’s specific context. Still scored and recorded, but with negligible influence on composite.</w:t>
            </w:r>
          </w:p>
        </w:tc>
      </w:tr>
    </w:tbl>
    <w:p>
      <w:pPr>
        <w:spacing w:after="120" w:before="80"/>
      </w:pPr>
      <w:r>
        <w:rPr>
          <w:rFonts w:ascii="Arial" w:cs="Arial" w:eastAsia="Arial" w:hAnsi="Arial"/>
          <w:sz w:val="22"/>
          <w:szCs w:val="22"/>
        </w:rPr>
        <w:t xml:space="preserve">The Top constraint is non-negotiable: only one dimension may be assigned Top. This forces directors to make a real strategic decision about what matters most, rather than marking everything “critical” and pretending that constitutes risk management. If a director insists that two dimensions are equally important, both should be Very High—forcing the genuine top priority to be identified separately.</w:t>
      </w:r>
    </w:p>
    <w:p>
      <w:pPr>
        <w:pStyle w:val="Heading2"/>
        <w:spacing w:after="160" w:before="280"/>
      </w:pPr>
      <w:r>
        <w:rPr>
          <w:rFonts w:ascii="Arial" w:cs="Arial" w:eastAsia="Arial" w:hAnsi="Arial"/>
          <w:b/>
          <w:bCs/>
          <w:color w:val="2E75B6"/>
          <w:sz w:val="28"/>
          <w:szCs w:val="28"/>
        </w:rPr>
        <w:t xml:space="preserve">2.2 Tier-to-Weight Translation</w:t>
      </w:r>
    </w:p>
    <w:p>
      <w:pPr>
        <w:spacing w:after="120" w:before="80"/>
      </w:pPr>
      <w:r>
        <w:rPr>
          <w:rFonts w:ascii="Arial" w:cs="Arial" w:eastAsia="Arial" w:hAnsi="Arial"/>
          <w:sz w:val="22"/>
          <w:szCs w:val="22"/>
        </w:rPr>
        <w:t xml:space="preserve">The mapping from Priority Tier to numeric weight is fixed and deterministic:</w:t>
      </w:r>
    </w:p>
    <w:p>
      <w:pPr>
        <w:spacing w:after="100" w:before="100"/>
        <w:ind w:left="360"/>
      </w:pPr>
      <w:r>
        <w:rPr>
          <w:rFonts w:ascii="Courier New" w:cs="Courier New" w:eastAsia="Courier New" w:hAnsi="Courier New"/>
          <w:b/>
          <w:bCs/>
          <w:sz w:val="22"/>
          <w:szCs w:val="22"/>
        </w:rPr>
        <w:t xml:space="preserve">Weight = { Top: 5.0, Very High: 4.0, High: 3.0, Medium: 2.0, Low: 1.0, Very Low: 0.5 }</w:t>
      </w:r>
    </w:p>
    <w:p>
      <w:pPr>
        <w:spacing w:after="120" w:before="80"/>
      </w:pPr>
      <w:r>
        <w:rPr>
          <w:rFonts w:ascii="Arial" w:cs="Arial" w:eastAsia="Arial" w:hAnsi="Arial"/>
          <w:sz w:val="22"/>
          <w:szCs w:val="22"/>
        </w:rPr>
        <w:t xml:space="preserve">Contribution percentage for any dimension is calculated as:</w:t>
      </w:r>
    </w:p>
    <w:p>
      <w:pPr>
        <w:spacing w:after="100" w:before="100"/>
        <w:ind w:left="360"/>
      </w:pPr>
      <w:r>
        <w:rPr>
          <w:rFonts w:ascii="Courier New" w:cs="Courier New" w:eastAsia="Courier New" w:hAnsi="Courier New"/>
          <w:b/>
          <w:bCs/>
          <w:sz w:val="22"/>
          <w:szCs w:val="22"/>
        </w:rPr>
        <w:t xml:space="preserve">Contribution% = (DimensionWeight / ΣAllWeights) × 100</w:t>
      </w:r>
    </w:p>
    <w:p>
      <w:pPr>
        <w:spacing w:after="120" w:before="80"/>
      </w:pPr>
      <w:r>
        <w:rPr>
          <w:rFonts w:ascii="Arial" w:cs="Arial" w:eastAsia="Arial" w:hAnsi="Arial"/>
          <w:sz w:val="22"/>
          <w:szCs w:val="22"/>
        </w:rPr>
        <w:t xml:space="preserve">Because the tier-to-weight mapping uses fixed values, all dimensions at the same tier automatically have identical contribution percentages. This eliminates the previous system’s arbitrary decimal differences between dimensions that directors considered equally important.</w:t>
      </w:r>
    </w:p>
    <w:p>
      <w:r>
        <w:br w:type="page"/>
      </w:r>
    </w:p>
    <w:p>
      <w:pPr>
        <w:pStyle w:val="Heading2"/>
        <w:spacing w:after="160" w:before="280"/>
      </w:pPr>
      <w:r>
        <w:rPr>
          <w:rFonts w:ascii="Arial" w:cs="Arial" w:eastAsia="Arial" w:hAnsi="Arial"/>
          <w:b/>
          <w:bCs/>
          <w:color w:val="2E75B6"/>
          <w:sz w:val="28"/>
          <w:szCs w:val="28"/>
        </w:rPr>
        <w:t xml:space="preserve">2.3 ADAM Default Configuration</w:t>
      </w:r>
    </w:p>
    <w:p>
      <w:pPr>
        <w:spacing w:after="120" w:before="80"/>
      </w:pPr>
      <w:r>
        <w:rPr>
          <w:rFonts w:ascii="Arial" w:cs="Arial" w:eastAsia="Arial" w:hAnsi="Arial"/>
          <w:i/>
          <w:iCs/>
          <w:color w:val="404040"/>
          <w:sz w:val="22"/>
          <w:szCs w:val="22"/>
        </w:rPr>
        <w:t xml:space="preserve">⚠️ INPUT TABLE: The priority tier assignments below are ADAM’s recommended defaults. Organizations must customize these during DNA Questionnaire deployment to reflect their specific risk appetite, industry profile, and regulatory environment. All tier changes require director approval and are version-controlled in the Flight Recorder.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000"/>
        <w:gridCol w:w="1360"/>
        <w:gridCol w:w="30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 Tier</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1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Contribution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Rationale</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Security Impact</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6A1B9A"/>
                <w:sz w:val="20"/>
                <w:szCs w:val="20"/>
              </w:rPr>
              <w:t xml:space="preserve">Top</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5.0</w:t>
            </w:r>
          </w:p>
        </w:tc>
        <w:tc>
          <w:tcPr>
            <w:tcW w:type="dxa" w:w="13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sz w:val="20"/>
                <w:szCs w:val="20"/>
              </w:rPr>
              <w:t xml:space="preserve">20.83%</w:t>
            </w:r>
          </w:p>
        </w:tc>
        <w:tc>
          <w:tcPr>
            <w:tcW w:type="dxa" w:w="3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A security breach undermines every other dimension simultaneously. Data exfiltration creates financial, regulatory, reputational, and sovereignty damage in a single event.</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Sovereignty Action</w:t>
            </w:r>
          </w:p>
        </w:tc>
        <w:tc>
          <w:tcPr>
            <w:tcW w:type="dxa" w:w="1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C62828"/>
                <w:sz w:val="20"/>
                <w:szCs w:val="20"/>
              </w:rPr>
              <w:t xml:space="preserve">Very High</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4.0</w:t>
            </w:r>
          </w:p>
        </w:tc>
        <w:tc>
          <w:tcPr>
            <w:tcW w:type="dxa" w:w="1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16.67%</w:t>
            </w:r>
          </w:p>
        </w:tc>
        <w:tc>
          <w:tcPr>
            <w:tcW w:type="dxa" w:w="3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Jurisdictional control is structural—once sovereignty is lost, it is expensive and slow to recover. Foreign government leverage is an existential threat.</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Financial Exposure</w:t>
            </w:r>
          </w:p>
        </w:tc>
        <w:tc>
          <w:tcPr>
            <w:tcW w:type="dxa" w:w="1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C62828"/>
                <w:sz w:val="20"/>
                <w:szCs w:val="20"/>
              </w:rPr>
              <w:t xml:space="preserve">Very High</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4.0</w:t>
            </w:r>
          </w:p>
        </w:tc>
        <w:tc>
          <w:tcPr>
            <w:tcW w:type="dxa" w:w="1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16.67%</w:t>
            </w:r>
          </w:p>
        </w:tc>
        <w:tc>
          <w:tcPr>
            <w:tcW w:type="dxa" w:w="3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Money lost is money lost. Financial errors compound faster than any other risk category and are the most immediately measurable form of damage.</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Regulatory Impact</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3.0</w:t>
            </w:r>
          </w:p>
        </w:tc>
        <w:tc>
          <w:tcPr>
            <w:tcW w:type="dxa" w:w="1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12.50%</w:t>
            </w:r>
          </w:p>
        </w:tc>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Regulatory violations are expensive and damaging but generally bounded. Fines are finite; license revocations are survivable if caught early.</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Reputational Risk</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3.0</w:t>
            </w:r>
          </w:p>
        </w:tc>
        <w:tc>
          <w:tcPr>
            <w:tcW w:type="dxa" w:w="1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12.50%</w:t>
            </w:r>
          </w:p>
        </w:tc>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Brand damage is real and painful but recoverable with transparent response. Market trust rebuilds faster than regulatory trust.</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Rights Certainty</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3.0</w:t>
            </w:r>
          </w:p>
        </w:tc>
        <w:tc>
          <w:tcPr>
            <w:tcW w:type="dxa" w:w="1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12.50%</w:t>
            </w:r>
          </w:p>
        </w:tc>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IP and licensing errors create legal liability and partner trust erosion. Material risk, but typically catchable before irreversible damage.</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Doctrinal Alignment</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2.0</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8.33%</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Internal alignment matters for governance coherence but rarely triggers external consequences directly. Misalignment is a slow burn, not a flash fire.</w:t>
            </w:r>
          </w:p>
        </w:tc>
      </w:tr>
      <w:tr>
        <w:tc>
          <w:tcPr>
            <w:tcW w:type="dxa" w:w="2400"/>
            <w:tcBorders>
              <w:top w:val="single" w:color="CCCCCC" w:sz="1"/>
              <w:left w:val="single" w:color="CCCCCC" w:sz="1"/>
              <w:bottom w:val="single" w:color="CCCCCC" w:sz="1"/>
              <w:right w:val="single" w:color="CCCCCC" w:sz="1"/>
            </w:tcBorders>
            <w:shd w:fill="E6EEF5" w:val="clear"/>
            <w:tcMar>
              <w:top w:type="dxa" w:w="80"/>
              <w:left w:type="dxa" w:w="120"/>
              <w:bottom w:type="dxa" w:w="80"/>
              <w:right w:type="dxa" w:w="120"/>
            </w:tcMar>
          </w:tcPr>
          <w:p>
            <w:r>
              <w:rPr>
                <w:rFonts w:ascii="Arial" w:cs="Arial" w:eastAsia="Arial" w:hAnsi="Arial"/>
                <w:b/>
                <w:bCs/>
                <w:sz w:val="20"/>
                <w:szCs w:val="20"/>
              </w:rPr>
              <w:t xml:space="preserve">Σ TOTAL</w:t>
            </w:r>
          </w:p>
        </w:tc>
        <w:tc>
          <w:tcPr>
            <w:tcW w:type="dxa" w:w="1600"/>
            <w:tcBorders>
              <w:top w:val="single" w:color="CCCCCC" w:sz="1"/>
              <w:left w:val="single" w:color="CCCCCC" w:sz="1"/>
              <w:bottom w:val="single" w:color="CCCCCC" w:sz="1"/>
              <w:right w:val="single" w:color="CCCCCC" w:sz="1"/>
            </w:tcBorders>
            <w:shd w:fill="E6EEF5"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E6EEF5" w:val="clear"/>
            <w:tcMar>
              <w:top w:type="dxa" w:w="80"/>
              <w:left w:type="dxa" w:w="120"/>
              <w:bottom w:type="dxa" w:w="80"/>
              <w:right w:type="dxa" w:w="120"/>
            </w:tcMar>
          </w:tcPr>
          <w:p>
            <w:r>
              <w:rPr>
                <w:rFonts w:ascii="Arial" w:cs="Arial" w:eastAsia="Arial" w:hAnsi="Arial"/>
                <w:b/>
                <w:bCs/>
                <w:sz w:val="20"/>
                <w:szCs w:val="20"/>
              </w:rPr>
              <w:t xml:space="preserve">24.0</w:t>
            </w:r>
          </w:p>
        </w:tc>
        <w:tc>
          <w:tcPr>
            <w:tcW w:type="dxa" w:w="1360"/>
            <w:tcBorders>
              <w:top w:val="single" w:color="CCCCCC" w:sz="1"/>
              <w:left w:val="single" w:color="CCCCCC" w:sz="1"/>
              <w:bottom w:val="single" w:color="CCCCCC" w:sz="1"/>
              <w:right w:val="single" w:color="CCCCCC" w:sz="1"/>
            </w:tcBorders>
            <w:shd w:fill="E6EEF5" w:val="clear"/>
            <w:tcMar>
              <w:top w:type="dxa" w:w="80"/>
              <w:left w:type="dxa" w:w="120"/>
              <w:bottom w:type="dxa" w:w="80"/>
              <w:right w:type="dxa" w:w="120"/>
            </w:tcMar>
          </w:tcPr>
          <w:p>
            <w:r>
              <w:rPr>
                <w:rFonts w:ascii="Arial" w:cs="Arial" w:eastAsia="Arial" w:hAnsi="Arial"/>
                <w:b/>
                <w:bCs/>
                <w:sz w:val="20"/>
                <w:szCs w:val="20"/>
              </w:rPr>
              <w:t xml:space="preserve">100.00%</w:t>
            </w:r>
          </w:p>
        </w:tc>
        <w:tc>
          <w:tcPr>
            <w:tcW w:type="dxa" w:w="3000"/>
            <w:tcBorders>
              <w:top w:val="single" w:color="CCCCCC" w:sz="1"/>
              <w:left w:val="single" w:color="CCCCCC" w:sz="1"/>
              <w:bottom w:val="single" w:color="CCCCCC" w:sz="1"/>
              <w:right w:val="single" w:color="CCCCCC" w:sz="1"/>
            </w:tcBorders>
            <w:shd w:fill="E6EEF5" w:val="clear"/>
            <w:tcMar>
              <w:top w:type="dxa" w:w="80"/>
              <w:left w:type="dxa" w:w="120"/>
              <w:bottom w:type="dxa" w:w="80"/>
              <w:right w:type="dxa" w:w="120"/>
            </w:tcMar>
          </w:tcPr>
          <w:p>
            <w:r>
              <w:rPr>
                <w:rFonts w:ascii="Arial" w:cs="Arial" w:eastAsia="Arial" w:hAnsi="Arial"/>
                <w:i/>
                <w:iCs/>
                <w:sz w:val="20"/>
                <w:szCs w:val="20"/>
              </w:rPr>
              <w:t xml:space="preserve">Auto-calculated from tier assignments</w:t>
            </w:r>
          </w:p>
        </w:tc>
      </w:tr>
    </w:tbl>
    <w:p>
      <w:pPr>
        <w:pStyle w:val="Heading2"/>
        <w:spacing w:after="160" w:before="280"/>
      </w:pPr>
      <w:r>
        <w:rPr>
          <w:rFonts w:ascii="Arial" w:cs="Arial" w:eastAsia="Arial" w:hAnsi="Arial"/>
          <w:b/>
          <w:bCs/>
          <w:color w:val="2E75B6"/>
          <w:sz w:val="28"/>
          <w:szCs w:val="28"/>
        </w:rPr>
        <w:t xml:space="preserve">2.4 Contribution Equalization Property</w:t>
      </w:r>
    </w:p>
    <w:p>
      <w:pPr>
        <w:spacing w:after="120" w:before="80"/>
      </w:pPr>
      <w:r>
        <w:rPr>
          <w:rFonts w:ascii="Arial" w:cs="Arial" w:eastAsia="Arial" w:hAnsi="Arial"/>
          <w:sz w:val="22"/>
          <w:szCs w:val="22"/>
        </w:rPr>
        <w:t xml:space="preserve">The Priority Tier system guarantees that dimensions at the same tier carry identical influence on the composite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280"/>
        <w:gridCol w:w="2140"/>
        <w:gridCol w:w="214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2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Dimensions (Default)</w:t>
            </w:r>
          </w:p>
        </w:tc>
        <w:tc>
          <w:tcPr>
            <w:tcW w:type="dxa" w:w="21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Per-Dimension %</w:t>
            </w:r>
          </w:p>
        </w:tc>
        <w:tc>
          <w:tcPr>
            <w:tcW w:type="dxa" w:w="21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Tier %</w:t>
            </w:r>
          </w:p>
        </w:tc>
      </w:tr>
      <w:tr>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6A1B9A"/>
                <w:sz w:val="20"/>
                <w:szCs w:val="20"/>
              </w:rPr>
              <w:t xml:space="preserve">Top</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5.0</w:t>
            </w:r>
          </w:p>
        </w:tc>
        <w:tc>
          <w:tcPr>
            <w:tcW w:type="dxa" w:w="22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Security Impact (1)</w:t>
            </w:r>
          </w:p>
        </w:tc>
        <w:tc>
          <w:tcPr>
            <w:tcW w:type="dxa" w:w="21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20.83%</w:t>
            </w:r>
          </w:p>
        </w:tc>
        <w:tc>
          <w:tcPr>
            <w:tcW w:type="dxa" w:w="21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20.83%</w:t>
            </w:r>
          </w:p>
        </w:tc>
      </w:tr>
      <w:tr>
        <w:tc>
          <w:tcPr>
            <w:tcW w:type="dxa" w:w="1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C62828"/>
                <w:sz w:val="20"/>
                <w:szCs w:val="20"/>
              </w:rPr>
              <w:t xml:space="preserve">Very High</w:t>
            </w:r>
          </w:p>
        </w:tc>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4.0</w:t>
            </w:r>
          </w:p>
        </w:tc>
        <w:tc>
          <w:tcPr>
            <w:tcW w:type="dxa" w:w="228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Sovereignty, Financial (2)</w:t>
            </w:r>
          </w:p>
        </w:tc>
        <w:tc>
          <w:tcPr>
            <w:tcW w:type="dxa" w:w="21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16.67%</w:t>
            </w:r>
          </w:p>
        </w:tc>
        <w:tc>
          <w:tcPr>
            <w:tcW w:type="dxa" w:w="214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33.33%</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3.0</w:t>
            </w:r>
          </w:p>
        </w:tc>
        <w:tc>
          <w:tcPr>
            <w:tcW w:type="dxa" w:w="2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Regulatory, Reputational, Rights (3)</w:t>
            </w:r>
          </w:p>
        </w:tc>
        <w:tc>
          <w:tcPr>
            <w:tcW w:type="dxa" w:w="21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12.50%</w:t>
            </w:r>
          </w:p>
        </w:tc>
        <w:tc>
          <w:tcPr>
            <w:tcW w:type="dxa" w:w="21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37.50%</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2.0</w:t>
            </w:r>
          </w:p>
        </w:tc>
        <w:tc>
          <w:tcPr>
            <w:tcW w:type="dxa" w:w="22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Doctrinal Alignment (1)</w:t>
            </w:r>
          </w:p>
        </w:tc>
        <w:tc>
          <w:tcPr>
            <w:tcW w:type="dxa" w:w="21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8.33%</w:t>
            </w:r>
          </w:p>
        </w:tc>
        <w:tc>
          <w:tcPr>
            <w:tcW w:type="dxa" w:w="21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8.33%</w:t>
            </w:r>
          </w:p>
        </w:tc>
      </w:tr>
    </w:tbl>
    <w:p>
      <w:pPr>
        <w:spacing w:after="100" w:before="60"/>
        <w:ind w:left="360"/>
      </w:pPr>
      <w:r>
        <w:rPr>
          <w:rFonts w:ascii="Arial" w:cs="Arial" w:eastAsia="Arial" w:hAnsi="Arial"/>
          <w:i/>
          <w:iCs/>
          <w:color w:val="666666"/>
          <w:sz w:val="20"/>
          <w:szCs w:val="20"/>
        </w:rPr>
        <w:t xml:space="preserve">Compare with v3.1: Previously, Regulatory (3.5), Reputational (3.3), and Rights (3.2) had contribution percentages of 13.89%, 13.10%, and 12.70% respectively—implying a ranking that directors never explicitly intended. In v3.2, all three are High and carry exactly 12.50% each.</w:t>
      </w:r>
    </w:p>
    <w:p>
      <w:r>
        <w:br w:type="page"/>
      </w:r>
    </w:p>
    <w:p>
      <w:pPr>
        <w:pStyle w:val="Heading1"/>
        <w:spacing w:after="200" w:before="360"/>
      </w:pPr>
      <w:r>
        <w:rPr>
          <w:rFonts w:ascii="Arial" w:cs="Arial" w:eastAsia="Arial" w:hAnsi="Arial"/>
          <w:b/>
          <w:bCs/>
          <w:color w:val="1F4E79"/>
          <w:sz w:val="36"/>
          <w:szCs w:val="36"/>
        </w:rPr>
        <w:t xml:space="preserve">3. The SOAP-to-OHSHAT Spectrum</w:t>
      </w:r>
    </w:p>
    <w:p>
      <w:pPr>
        <w:spacing w:after="120" w:before="80"/>
      </w:pPr>
      <w:r>
        <w:rPr>
          <w:rFonts w:ascii="Arial" w:cs="Arial" w:eastAsia="Arial" w:hAnsi="Arial"/>
          <w:sz w:val="22"/>
          <w:szCs w:val="22"/>
        </w:rPr>
        <w:t xml:space="preserve">ADAM defines five escalation tiers. The naming convention is intentional—SOAP and OHSHAT are memorable because they need to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000"/>
        <w:gridCol w:w="39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Name</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Routing Behavior</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0–10</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SOAP</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Safe &amp; Optimum Autonomous Performance</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Full autonomous execution. Minimal logging.</w:t>
            </w:r>
          </w:p>
        </w:tc>
      </w:tr>
      <w:tr>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11–30</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MODERATE</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Constrained Execution</w:t>
            </w:r>
          </w:p>
        </w:tc>
        <w:tc>
          <w:tcPr>
            <w:tcW w:type="dxa" w:w="3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Autonomous with enhanced logging. Post-execution review.</w:t>
            </w:r>
          </w:p>
        </w:tc>
      </w:tr>
      <w:tr>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31–50</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ELEVATED</w:t>
            </w:r>
          </w:p>
        </w:tc>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Exception Likely</w:t>
            </w:r>
          </w:p>
        </w:tc>
        <w:tc>
          <w:tcPr>
            <w:tcW w:type="dxa" w:w="3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Paused. Exception packet to Domain Governor.</w:t>
            </w:r>
          </w:p>
        </w:tc>
      </w:tr>
      <w:tr>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51–75</w:t>
            </w:r>
          </w:p>
        </w:tc>
        <w:tc>
          <w:tcPr>
            <w:tcW w:type="dxa" w:w="1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C62828"/>
                <w:sz w:val="20"/>
                <w:szCs w:val="20"/>
              </w:rPr>
              <w:t xml:space="preserve">HIGH</w:t>
            </w:r>
          </w:p>
        </w:tc>
        <w:tc>
          <w:tcPr>
            <w:tcW w:type="dxa" w:w="3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Director Review Required</w:t>
            </w:r>
          </w:p>
        </w:tc>
        <w:tc>
          <w:tcPr>
            <w:tcW w:type="dxa" w:w="39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No execution without director approval. 4-hour SLA.</w:t>
            </w:r>
          </w:p>
        </w:tc>
      </w:tr>
      <w:tr>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76–100</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6A1B9A"/>
                <w:sz w:val="20"/>
                <w:szCs w:val="20"/>
              </w:rPr>
              <w:t xml:space="preserve">OHSHAT</w:t>
            </w:r>
          </w:p>
        </w:tc>
        <w:tc>
          <w:tcPr>
            <w:tcW w:type="dxa" w:w="3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Operational Hell, Send Humans Act Today!</w:t>
            </w:r>
          </w:p>
        </w:tc>
        <w:tc>
          <w:tcPr>
            <w:tcW w:type="dxa" w:w="39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CEO + all directors. Safe-mode. No exceptions.</w:t>
            </w:r>
          </w:p>
        </w:tc>
      </w:tr>
    </w:tbl>
    <w:p>
      <w:r>
        <w:br w:type="page"/>
      </w:r>
    </w:p>
    <w:p>
      <w:pPr>
        <w:pStyle w:val="Heading1"/>
        <w:spacing w:after="200" w:before="360"/>
      </w:pPr>
      <w:r>
        <w:rPr>
          <w:rFonts w:ascii="Arial" w:cs="Arial" w:eastAsia="Arial" w:hAnsi="Arial"/>
          <w:b/>
          <w:bCs/>
          <w:color w:val="1F4E79"/>
          <w:sz w:val="36"/>
          <w:szCs w:val="36"/>
        </w:rPr>
        <w:t xml:space="preserve">4. Composite Score Formula and Normalization</w:t>
      </w:r>
    </w:p>
    <w:p>
      <w:pPr>
        <w:pStyle w:val="Heading2"/>
        <w:spacing w:after="160" w:before="280"/>
      </w:pPr>
      <w:r>
        <w:rPr>
          <w:rFonts w:ascii="Arial" w:cs="Arial" w:eastAsia="Arial" w:hAnsi="Arial"/>
          <w:b/>
          <w:bCs/>
          <w:color w:val="2E75B6"/>
          <w:sz w:val="28"/>
          <w:szCs w:val="28"/>
        </w:rPr>
        <w:t xml:space="preserve">4.1 Weighted Average Formula</w:t>
      </w:r>
    </w:p>
    <w:p>
      <w:pPr>
        <w:spacing w:after="120" w:before="80"/>
      </w:pPr>
      <w:r>
        <w:rPr>
          <w:rFonts w:ascii="Arial" w:cs="Arial" w:eastAsia="Arial" w:hAnsi="Arial"/>
          <w:sz w:val="22"/>
          <w:szCs w:val="22"/>
        </w:rPr>
        <w:t xml:space="preserve">The BOSS composite is a weighted average using numeric weights derived from Priority Tier assignments:</w:t>
      </w:r>
    </w:p>
    <w:p>
      <w:pPr>
        <w:spacing w:after="100" w:before="100"/>
        <w:ind w:left="360"/>
      </w:pPr>
      <w:r>
        <w:rPr>
          <w:rFonts w:ascii="Courier New" w:cs="Courier New" w:eastAsia="Courier New" w:hAnsi="Courier New"/>
          <w:b/>
          <w:bCs/>
          <w:sz w:val="22"/>
          <w:szCs w:val="22"/>
        </w:rPr>
        <w:t xml:space="preserve">C = (S_sec×5.0 + S_sov×4.0 + S_fin×4.0 + S_reg×3.0 + S_rep×3.0 + S_rights×3.0 + S_doc×2.0) / 24.0</w:t>
      </w:r>
    </w:p>
    <w:p>
      <w:pPr>
        <w:spacing w:after="120" w:before="80"/>
      </w:pPr>
      <w:r>
        <w:rPr>
          <w:rFonts w:ascii="Arial" w:cs="Arial" w:eastAsia="Arial" w:hAnsi="Arial"/>
          <w:sz w:val="22"/>
          <w:szCs w:val="22"/>
        </w:rPr>
        <w:t xml:space="preserve">Where S_d is the individual dimension score (0–100) and the denominator (24.0) is the sum of all weights. This produces a normalized composite in the range [0, 100].</w:t>
      </w:r>
    </w:p>
    <w:p>
      <w:pPr>
        <w:spacing w:after="100" w:before="60"/>
        <w:ind w:left="360"/>
      </w:pPr>
      <w:r>
        <w:rPr>
          <w:rFonts w:ascii="Arial" w:cs="Arial" w:eastAsia="Arial" w:hAnsi="Arial"/>
          <w:i/>
          <w:iCs/>
          <w:color w:val="666666"/>
          <w:sz w:val="20"/>
          <w:szCs w:val="20"/>
        </w:rPr>
        <w:t xml:space="preserve">When organizations customize tier assignments via the DNA Questionnaire, the formula automatically adjusts: weights change per the tier-to-weight mapping, and the denominator recalculates as the sum of all assigned weights.</w:t>
      </w:r>
    </w:p>
    <w:p>
      <w:pPr>
        <w:pStyle w:val="Heading2"/>
        <w:spacing w:after="160" w:before="280"/>
      </w:pPr>
      <w:r>
        <w:rPr>
          <w:rFonts w:ascii="Arial" w:cs="Arial" w:eastAsia="Arial" w:hAnsi="Arial"/>
          <w:b/>
          <w:bCs/>
          <w:color w:val="2E75B6"/>
          <w:sz w:val="28"/>
          <w:szCs w:val="28"/>
        </w:rPr>
        <w:t xml:space="preserve">4.2 Critical Dimension Override</w:t>
      </w:r>
    </w:p>
    <w:p>
      <w:pPr>
        <w:spacing w:after="100" w:before="100"/>
        <w:ind w:left="360"/>
      </w:pPr>
      <w:r>
        <w:rPr>
          <w:rFonts w:ascii="Courier New" w:cs="Courier New" w:eastAsia="Courier New" w:hAnsi="Courier New"/>
          <w:b/>
          <w:bCs/>
          <w:sz w:val="22"/>
          <w:szCs w:val="22"/>
        </w:rPr>
        <w:t xml:space="preserve">If max(Score_d) &gt; 75: Composite = max(WeightedAverage, max(Score_d) – 10)</w:t>
      </w:r>
    </w:p>
    <w:p>
      <w:pPr>
        <w:spacing w:after="120" w:before="80"/>
      </w:pPr>
      <w:r>
        <w:rPr>
          <w:rFonts w:ascii="Arial" w:cs="Arial" w:eastAsia="Arial" w:hAnsi="Arial"/>
          <w:sz w:val="22"/>
          <w:szCs w:val="22"/>
        </w:rPr>
        <w:t xml:space="preserve">A composite score can mask extreme risk in a single dimension. This override ensures that any individual dimension exceeding 75 forces the composite upward, preventing a catastrophically high-risk dimension from being averaged away by six benign ones. The 10-point reduction acknowledges mitigating context while guaranteeing escalation.</w:t>
      </w:r>
    </w:p>
    <w:p>
      <w:pPr>
        <w:pStyle w:val="Heading2"/>
        <w:spacing w:after="160" w:before="280"/>
      </w:pPr>
      <w:r>
        <w:rPr>
          <w:rFonts w:ascii="Arial" w:cs="Arial" w:eastAsia="Arial" w:hAnsi="Arial"/>
          <w:b/>
          <w:bCs/>
          <w:color w:val="2E75B6"/>
          <w:sz w:val="28"/>
          <w:szCs w:val="28"/>
        </w:rPr>
        <w:t xml:space="preserve">4.3 Non-Idempotent Penalty</w:t>
      </w:r>
    </w:p>
    <w:p>
      <w:pPr>
        <w:spacing w:after="100" w:before="100"/>
        <w:ind w:left="360"/>
      </w:pPr>
      <w:r>
        <w:rPr>
          <w:rFonts w:ascii="Courier New" w:cs="Courier New" w:eastAsia="Courier New" w:hAnsi="Courier New"/>
          <w:b/>
          <w:bCs/>
          <w:sz w:val="22"/>
          <w:szCs w:val="22"/>
        </w:rPr>
        <w:t xml:space="preserve">If action.is_non_idempotent: Composite = Composite + 15</w:t>
      </w:r>
    </w:p>
    <w:p>
      <w:pPr>
        <w:spacing w:after="120" w:before="80"/>
      </w:pPr>
      <w:r>
        <w:rPr>
          <w:rFonts w:ascii="Arial" w:cs="Arial" w:eastAsia="Arial" w:hAnsi="Arial"/>
          <w:sz w:val="22"/>
          <w:szCs w:val="22"/>
        </w:rPr>
        <w:t xml:space="preserve">ADAM treats idempotency as a first-class architectural principle. Non-idempotent actions—sending an email blast, executing a financial transaction, deleting production data, publishing content—produce permanent effects. The +15 penalty ensures irreversible actions escalate by at least one tier.</w:t>
      </w:r>
    </w:p>
    <w:p>
      <w:pPr>
        <w:pStyle w:val="Heading2"/>
        <w:spacing w:after="160" w:before="280"/>
      </w:pPr>
      <w:r>
        <w:rPr>
          <w:rFonts w:ascii="Arial" w:cs="Arial" w:eastAsia="Arial" w:hAnsi="Arial"/>
          <w:b/>
          <w:bCs/>
          <w:color w:val="2E75B6"/>
          <w:sz w:val="28"/>
          <w:szCs w:val="28"/>
        </w:rPr>
        <w:t xml:space="preserve">4.4 Final Score</w:t>
      </w:r>
    </w:p>
    <w:p>
      <w:pPr>
        <w:spacing w:after="100" w:before="100"/>
        <w:ind w:left="360"/>
      </w:pPr>
      <w:r>
        <w:rPr>
          <w:rFonts w:ascii="Courier New" w:cs="Courier New" w:eastAsia="Courier New" w:hAnsi="Courier New"/>
          <w:b/>
          <w:bCs/>
          <w:sz w:val="22"/>
          <w:szCs w:val="22"/>
        </w:rPr>
        <w:t xml:space="preserve">Composite = min(Composite, 100) [capped at 100]</w:t>
      </w:r>
    </w:p>
    <w:p>
      <w:r>
        <w:br w:type="page"/>
      </w:r>
    </w:p>
    <w:p>
      <w:pPr>
        <w:pStyle w:val="Heading1"/>
        <w:spacing w:after="200" w:before="360"/>
      </w:pPr>
      <w:r>
        <w:rPr>
          <w:rFonts w:ascii="Arial" w:cs="Arial" w:eastAsia="Arial" w:hAnsi="Arial"/>
          <w:b/>
          <w:bCs/>
          <w:color w:val="1F4E79"/>
          <w:sz w:val="36"/>
          <w:szCs w:val="36"/>
        </w:rPr>
        <w:t xml:space="preserve">5. Dimension Specifications (Updated Weights)</w:t>
      </w:r>
    </w:p>
    <w:p>
      <w:pPr>
        <w:spacing w:after="120" w:before="80"/>
      </w:pPr>
      <w:r>
        <w:rPr>
          <w:rFonts w:ascii="Arial" w:cs="Arial" w:eastAsia="Arial" w:hAnsi="Arial"/>
          <w:sz w:val="22"/>
          <w:szCs w:val="22"/>
        </w:rPr>
        <w:t xml:space="preserve">All seven dimensions retain their v3.1 sub-component formulas, threshold tables, and scoring methodologies. Only the dimension weight (derived from Priority Tier assignment) has changed. The sub-component scores within each dimension are unaffected—they still sum to 0–100 per dimension.</w:t>
      </w:r>
    </w:p>
    <w:p>
      <w:pPr>
        <w:pStyle w:val="Heading2"/>
        <w:spacing w:after="160" w:before="280"/>
      </w:pPr>
      <w:r>
        <w:rPr>
          <w:rFonts w:ascii="Arial" w:cs="Arial" w:eastAsia="Arial" w:hAnsi="Arial"/>
          <w:b/>
          <w:bCs/>
          <w:color w:val="2E75B6"/>
          <w:sz w:val="28"/>
          <w:szCs w:val="28"/>
        </w:rPr>
        <w:t xml:space="preserve">5.1 Security Impact Score (Priority: Top, Weight: 5.0)</w:t>
      </w:r>
    </w:p>
    <w:p>
      <w:pPr>
        <w:spacing w:after="120" w:before="80"/>
      </w:pPr>
      <w:r>
        <w:rPr>
          <w:rFonts w:ascii="Arial" w:cs="Arial" w:eastAsia="Arial" w:hAnsi="Arial"/>
          <w:sz w:val="22"/>
          <w:szCs w:val="22"/>
        </w:rPr>
        <w:t xml:space="preserve">Framework: NIST CSF 2.0 + CVSS v4.0 + MITRE ATT&amp;CK</w:t>
      </w:r>
    </w:p>
    <w:p>
      <w:pPr>
        <w:spacing w:after="120" w:before="80"/>
      </w:pPr>
      <w:r>
        <w:rPr>
          <w:rFonts w:ascii="Arial" w:cs="Arial" w:eastAsia="Arial" w:hAnsi="Arial"/>
          <w:sz w:val="22"/>
          <w:szCs w:val="22"/>
        </w:rPr>
        <w:t xml:space="preserve">Sub-Components: A: Attack Surface (CVSS, 0–35), B: Control Maturity (NIST CSF, 0–25), C: Threat Intelligence (ATT&amp;CK, 0–20), D: AI-Specific Security (0–20).</w:t>
      </w:r>
    </w:p>
    <w:p>
      <w:pPr>
        <w:spacing w:after="100" w:before="60"/>
        <w:ind w:left="360"/>
      </w:pPr>
      <w:r>
        <w:rPr>
          <w:rFonts w:ascii="Arial" w:cs="Arial" w:eastAsia="Arial" w:hAnsi="Arial"/>
          <w:i/>
          <w:iCs/>
          <w:color w:val="666666"/>
          <w:sz w:val="20"/>
          <w:szCs w:val="20"/>
        </w:rPr>
        <w:t xml:space="preserve">Contribution to composite: 20.83%. As the sole Top dimension, Security Impact has the highest individual influence on the composite score. A Security score of 80 contributes 80×5.0/24.0 = 16.67 points to the composite—more than any other dimension at the same raw score.</w:t>
      </w:r>
    </w:p>
    <w:p>
      <w:pPr>
        <w:pStyle w:val="Heading2"/>
        <w:spacing w:after="160" w:before="280"/>
      </w:pPr>
      <w:r>
        <w:rPr>
          <w:rFonts w:ascii="Arial" w:cs="Arial" w:eastAsia="Arial" w:hAnsi="Arial"/>
          <w:b/>
          <w:bCs/>
          <w:color w:val="2E75B6"/>
          <w:sz w:val="28"/>
          <w:szCs w:val="28"/>
        </w:rPr>
        <w:t xml:space="preserve">5.2 Sovereignty Action Score (Priority: Very High, Weight: 4.0)</w:t>
      </w:r>
    </w:p>
    <w:p>
      <w:pPr>
        <w:spacing w:after="120" w:before="80"/>
      </w:pPr>
      <w:r>
        <w:rPr>
          <w:rFonts w:ascii="Arial" w:cs="Arial" w:eastAsia="Arial" w:hAnsi="Arial"/>
          <w:sz w:val="22"/>
          <w:szCs w:val="22"/>
        </w:rPr>
        <w:t xml:space="preserve">Framework: SEAL (EU Cloud Sovereignty Framework) + Eurotechguide Sovereignty Index</w:t>
      </w:r>
    </w:p>
    <w:p>
      <w:pPr>
        <w:spacing w:after="120" w:before="80"/>
      </w:pPr>
      <w:r>
        <w:rPr>
          <w:rFonts w:ascii="Arial" w:cs="Arial" w:eastAsia="Arial" w:hAnsi="Arial"/>
          <w:sz w:val="22"/>
          <w:szCs w:val="22"/>
        </w:rPr>
        <w:t xml:space="preserve">8 SEAL objectives (SOV-1 through SOV-8) scored 0–4, converted to 0–100, weighted, inverted for risk scale. Critical violation floor at 60 for fundamental objectives at SEAL ≤1.</w:t>
      </w:r>
    </w:p>
    <w:p>
      <w:pPr>
        <w:spacing w:after="100" w:before="60"/>
        <w:ind w:left="360"/>
      </w:pPr>
      <w:r>
        <w:rPr>
          <w:rFonts w:ascii="Arial" w:cs="Arial" w:eastAsia="Arial" w:hAnsi="Arial"/>
          <w:i/>
          <w:iCs/>
          <w:color w:val="666666"/>
          <w:sz w:val="20"/>
          <w:szCs w:val="20"/>
        </w:rPr>
        <w:t xml:space="preserve">Contribution to composite: 16.67%. Equal to Financial Exposure (both Very High).</w:t>
      </w:r>
    </w:p>
    <w:p>
      <w:pPr>
        <w:pStyle w:val="Heading2"/>
        <w:spacing w:after="160" w:before="280"/>
      </w:pPr>
      <w:r>
        <w:rPr>
          <w:rFonts w:ascii="Arial" w:cs="Arial" w:eastAsia="Arial" w:hAnsi="Arial"/>
          <w:b/>
          <w:bCs/>
          <w:color w:val="2E75B6"/>
          <w:sz w:val="28"/>
          <w:szCs w:val="28"/>
        </w:rPr>
        <w:t xml:space="preserve">5.3 Financial Exposure Score (Priority: Very High, Weight: 4.0)</w:t>
      </w:r>
    </w:p>
    <w:p>
      <w:pPr>
        <w:spacing w:after="120" w:before="80"/>
      </w:pPr>
      <w:r>
        <w:rPr>
          <w:rFonts w:ascii="Arial" w:cs="Arial" w:eastAsia="Arial" w:hAnsi="Arial"/>
          <w:sz w:val="22"/>
          <w:szCs w:val="22"/>
        </w:rPr>
        <w:t xml:space="preserve">Framework: FAIR (Factor Analysis of Information Risk) + COSO ERM</w:t>
      </w:r>
    </w:p>
    <w:p>
      <w:pPr>
        <w:spacing w:after="120" w:before="80"/>
      </w:pPr>
      <w:r>
        <w:rPr>
          <w:rFonts w:ascii="Arial" w:cs="Arial" w:eastAsia="Arial" w:hAnsi="Arial"/>
          <w:sz w:val="22"/>
          <w:szCs w:val="22"/>
        </w:rPr>
        <w:t xml:space="preserve">Sub-Components: A: Action Monetary Value (0–30), B: Cumulative Budget Exposure (0–25), C: Loss Magnitude Estimate (0–25), D: Cascading Financial Risk (0–20).</w:t>
      </w:r>
    </w:p>
    <w:p>
      <w:pPr>
        <w:spacing w:after="100" w:before="60"/>
        <w:ind w:left="360"/>
      </w:pPr>
      <w:r>
        <w:rPr>
          <w:rFonts w:ascii="Arial" w:cs="Arial" w:eastAsia="Arial" w:hAnsi="Arial"/>
          <w:i/>
          <w:iCs/>
          <w:color w:val="666666"/>
          <w:sz w:val="20"/>
          <w:szCs w:val="20"/>
        </w:rPr>
        <w:t xml:space="preserve">Contribution to composite: 16.67%. Equal to Sovereignty Action (both Very High). In v3.1, Financial (3.6) was weighted below Sovereignty (4.0)—a distinction directors did not explicitly intend. Now both carry identical influence.</w:t>
      </w:r>
    </w:p>
    <w:p>
      <w:pPr>
        <w:pStyle w:val="Heading2"/>
        <w:spacing w:after="160" w:before="280"/>
      </w:pPr>
      <w:r>
        <w:rPr>
          <w:rFonts w:ascii="Arial" w:cs="Arial" w:eastAsia="Arial" w:hAnsi="Arial"/>
          <w:b/>
          <w:bCs/>
          <w:color w:val="2E75B6"/>
          <w:sz w:val="28"/>
          <w:szCs w:val="28"/>
        </w:rPr>
        <w:t xml:space="preserve">5.4 Regulatory Impact Score (Priority: High, Weight: 3.0)</w:t>
      </w:r>
    </w:p>
    <w:p>
      <w:pPr>
        <w:spacing w:after="120" w:before="80"/>
      </w:pPr>
      <w:r>
        <w:rPr>
          <w:rFonts w:ascii="Arial" w:cs="Arial" w:eastAsia="Arial" w:hAnsi="Arial"/>
          <w:sz w:val="22"/>
          <w:szCs w:val="22"/>
        </w:rPr>
        <w:t xml:space="preserve">Framework: EU AI Act + GRC Compliance Scoring</w:t>
      </w:r>
    </w:p>
    <w:p>
      <w:pPr>
        <w:spacing w:after="120" w:before="80"/>
      </w:pPr>
      <w:r>
        <w:rPr>
          <w:rFonts w:ascii="Arial" w:cs="Arial" w:eastAsia="Arial" w:hAnsi="Arial"/>
          <w:sz w:val="22"/>
          <w:szCs w:val="22"/>
        </w:rPr>
        <w:t xml:space="preserve">Sub-Components: A: AI Act Risk Classification (0–40), B: Jurisdictional Compliance Gap (0–25), C: Fundamental Rights Impact (0–20), D: Documentation Completeness (0–10), E: Cross-Border Complexity (0–5).</w:t>
      </w:r>
    </w:p>
    <w:p>
      <w:pPr>
        <w:spacing w:after="100" w:before="60"/>
        <w:ind w:left="360"/>
      </w:pPr>
      <w:r>
        <w:rPr>
          <w:rFonts w:ascii="Arial" w:cs="Arial" w:eastAsia="Arial" w:hAnsi="Arial"/>
          <w:i/>
          <w:iCs/>
          <w:color w:val="666666"/>
          <w:sz w:val="20"/>
          <w:szCs w:val="20"/>
        </w:rPr>
        <w:t xml:space="preserve">Contribution to composite: 12.50%. Equal to Reputational Risk and Rights Certainty (all High).</w:t>
      </w:r>
    </w:p>
    <w:p>
      <w:pPr>
        <w:pStyle w:val="Heading2"/>
        <w:spacing w:after="160" w:before="280"/>
      </w:pPr>
      <w:r>
        <w:rPr>
          <w:rFonts w:ascii="Arial" w:cs="Arial" w:eastAsia="Arial" w:hAnsi="Arial"/>
          <w:b/>
          <w:bCs/>
          <w:color w:val="2E75B6"/>
          <w:sz w:val="28"/>
          <w:szCs w:val="28"/>
        </w:rPr>
        <w:t xml:space="preserve">5.5 Reputational Risk Score (Priority: High, Weight: 3.0)</w:t>
      </w:r>
    </w:p>
    <w:p>
      <w:pPr>
        <w:spacing w:after="120" w:before="80"/>
      </w:pPr>
      <w:r>
        <w:rPr>
          <w:rFonts w:ascii="Arial" w:cs="Arial" w:eastAsia="Arial" w:hAnsi="Arial"/>
          <w:sz w:val="22"/>
          <w:szCs w:val="22"/>
        </w:rPr>
        <w:t xml:space="preserve">Framework: RepRisk RRI + RepTrak ESG</w:t>
      </w:r>
    </w:p>
    <w:p>
      <w:pPr>
        <w:spacing w:after="120" w:before="80"/>
      </w:pPr>
      <w:r>
        <w:rPr>
          <w:rFonts w:ascii="Arial" w:cs="Arial" w:eastAsia="Arial" w:hAnsi="Arial"/>
          <w:sz w:val="22"/>
          <w:szCs w:val="22"/>
        </w:rPr>
        <w:t xml:space="preserve">Sub-Components: A: ESG Category Exposure (0–30), B: Source Reach &amp; Amplification (0–25), C: Stakeholder Concern Level (0–25), D: Precedent &amp; Novelty (0–20).</w:t>
      </w:r>
    </w:p>
    <w:p>
      <w:pPr>
        <w:spacing w:after="100" w:before="60"/>
        <w:ind w:left="360"/>
      </w:pPr>
      <w:r>
        <w:rPr>
          <w:rFonts w:ascii="Arial" w:cs="Arial" w:eastAsia="Arial" w:hAnsi="Arial"/>
          <w:i/>
          <w:iCs/>
          <w:color w:val="666666"/>
          <w:sz w:val="20"/>
          <w:szCs w:val="20"/>
        </w:rPr>
        <w:t xml:space="preserve">Contribution to composite: 12.50%. Equal to Regulatory Impact and Rights Certainty (all High).</w:t>
      </w:r>
    </w:p>
    <w:p>
      <w:pPr>
        <w:pStyle w:val="Heading2"/>
        <w:spacing w:after="160" w:before="280"/>
      </w:pPr>
      <w:r>
        <w:rPr>
          <w:rFonts w:ascii="Arial" w:cs="Arial" w:eastAsia="Arial" w:hAnsi="Arial"/>
          <w:b/>
          <w:bCs/>
          <w:color w:val="2E75B6"/>
          <w:sz w:val="28"/>
          <w:szCs w:val="28"/>
        </w:rPr>
        <w:t xml:space="preserve">5.6 Rights Certainty Score (Priority: High, Weight: 3.0)</w:t>
      </w:r>
    </w:p>
    <w:p>
      <w:pPr>
        <w:spacing w:after="120" w:before="80"/>
      </w:pPr>
      <w:r>
        <w:rPr>
          <w:rFonts w:ascii="Arial" w:cs="Arial" w:eastAsia="Arial" w:hAnsi="Arial"/>
          <w:sz w:val="22"/>
          <w:szCs w:val="22"/>
        </w:rPr>
        <w:t xml:space="preserve">Framework: ISO 31000 + NIST AI RMF</w:t>
      </w:r>
    </w:p>
    <w:p>
      <w:pPr>
        <w:spacing w:after="120" w:before="80"/>
      </w:pPr>
      <w:r>
        <w:rPr>
          <w:rFonts w:ascii="Arial" w:cs="Arial" w:eastAsia="Arial" w:hAnsi="Arial"/>
          <w:sz w:val="22"/>
          <w:szCs w:val="22"/>
        </w:rPr>
        <w:t xml:space="preserve">Sub-Components: A: Authorization Chain Verification (0–30), B: Ownership &amp; IP Verification (0–30), C: Entitlement Trustworthiness (0–20), D: Conflict &amp; Ambiguity Assessment (0–20).</w:t>
      </w:r>
    </w:p>
    <w:p>
      <w:pPr>
        <w:spacing w:after="100" w:before="60"/>
        <w:ind w:left="360"/>
      </w:pPr>
      <w:r>
        <w:rPr>
          <w:rFonts w:ascii="Arial" w:cs="Arial" w:eastAsia="Arial" w:hAnsi="Arial"/>
          <w:i/>
          <w:iCs/>
          <w:color w:val="666666"/>
          <w:sz w:val="20"/>
          <w:szCs w:val="20"/>
        </w:rPr>
        <w:t xml:space="preserve">Contribution to composite: 12.50%. Equal to Regulatory Impact and Reputational Risk (all High).</w:t>
      </w:r>
    </w:p>
    <w:p>
      <w:pPr>
        <w:pStyle w:val="Heading2"/>
        <w:spacing w:after="160" w:before="280"/>
      </w:pPr>
      <w:r>
        <w:rPr>
          <w:rFonts w:ascii="Arial" w:cs="Arial" w:eastAsia="Arial" w:hAnsi="Arial"/>
          <w:b/>
          <w:bCs/>
          <w:color w:val="2E75B6"/>
          <w:sz w:val="28"/>
          <w:szCs w:val="28"/>
        </w:rPr>
        <w:t xml:space="preserve">5.7 Doctrinal Alignment Score (Priority: Medium, Weight: 2.0)</w:t>
      </w:r>
    </w:p>
    <w:p>
      <w:pPr>
        <w:spacing w:after="120" w:before="80"/>
      </w:pPr>
      <w:r>
        <w:rPr>
          <w:rFonts w:ascii="Arial" w:cs="Arial" w:eastAsia="Arial" w:hAnsi="Arial"/>
          <w:sz w:val="22"/>
          <w:szCs w:val="22"/>
        </w:rPr>
        <w:t xml:space="preserve">Framework: COSO ERM Governance + ADAM CORE Engine</w:t>
      </w:r>
    </w:p>
    <w:p>
      <w:pPr>
        <w:spacing w:after="120" w:before="80"/>
      </w:pPr>
      <w:r>
        <w:rPr>
          <w:rFonts w:ascii="Arial" w:cs="Arial" w:eastAsia="Arial" w:hAnsi="Arial"/>
          <w:sz w:val="22"/>
          <w:szCs w:val="22"/>
        </w:rPr>
        <w:t xml:space="preserve">Sub-Components: A: Culture Alignment (0–25), B: Objective Alignment (0–25), C: Rules Compliance (0–30), D: Expectations Conformity (0–20).</w:t>
      </w:r>
    </w:p>
    <w:p>
      <w:pPr>
        <w:spacing w:after="100" w:before="60"/>
        <w:ind w:left="360"/>
      </w:pPr>
      <w:r>
        <w:rPr>
          <w:rFonts w:ascii="Arial" w:cs="Arial" w:eastAsia="Arial" w:hAnsi="Arial"/>
          <w:i/>
          <w:iCs/>
          <w:color w:val="666666"/>
          <w:sz w:val="20"/>
          <w:szCs w:val="20"/>
        </w:rPr>
        <w:t xml:space="preserve">Contribution to composite: 8.33%. As the sole Medium dimension, Doctrinal Alignment has the lowest individual influence. This reflects the reality that doctrinal misalignment is a governance coherence issue that rarely triggers external consequences directly.</w:t>
      </w:r>
    </w:p>
    <w:p>
      <w:r>
        <w:br w:type="page"/>
      </w:r>
    </w:p>
    <w:p>
      <w:pPr>
        <w:pStyle w:val="Heading1"/>
        <w:spacing w:after="200" w:before="360"/>
      </w:pPr>
      <w:r>
        <w:rPr>
          <w:rFonts w:ascii="Arial" w:cs="Arial" w:eastAsia="Arial" w:hAnsi="Arial"/>
          <w:b/>
          <w:bCs/>
          <w:color w:val="1F4E79"/>
          <w:sz w:val="36"/>
          <w:szCs w:val="36"/>
        </w:rPr>
        <w:t xml:space="preserve">6. Worked Example: NetStreamX Content Licensing (Updated)</w:t>
      </w:r>
    </w:p>
    <w:p>
      <w:pPr>
        <w:spacing w:after="120" w:before="80"/>
      </w:pPr>
      <w:r>
        <w:rPr>
          <w:rFonts w:ascii="Arial" w:cs="Arial" w:eastAsia="Arial" w:hAnsi="Arial"/>
          <w:sz w:val="22"/>
          <w:szCs w:val="22"/>
        </w:rPr>
        <w:t xml:space="preserve">Same scenario as v3.1: NetStreamX Content Acquisition agent proposes a $250,000 payment for exclusive EU streaming rights. The dimension scores are unchanged; only the composite calculation uses the new Priority Tier weights.</w:t>
      </w:r>
    </w:p>
    <w:p>
      <w:pPr>
        <w:pStyle w:val="Heading2"/>
        <w:spacing w:after="160" w:before="280"/>
      </w:pPr>
      <w:r>
        <w:rPr>
          <w:rFonts w:ascii="Arial" w:cs="Arial" w:eastAsia="Arial" w:hAnsi="Arial"/>
          <w:b/>
          <w:bCs/>
          <w:color w:val="2E75B6"/>
          <w:sz w:val="28"/>
          <w:szCs w:val="28"/>
        </w:rPr>
        <w:t xml:space="preserve">6.1 Dimension Scores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000"/>
        <w:gridCol w:w="1360"/>
        <w:gridCol w:w="30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 Tier</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1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Raw Score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Weighted Contribution</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Security Impact</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6A1B9A"/>
                <w:sz w:val="20"/>
                <w:szCs w:val="20"/>
              </w:rPr>
              <w:t xml:space="preserve">Top</w:t>
            </w:r>
          </w:p>
        </w:tc>
        <w:tc>
          <w:tcPr>
            <w:tcW w:type="dxa" w:w="1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5.0</w:t>
            </w:r>
          </w:p>
        </w:tc>
        <w:tc>
          <w:tcPr>
            <w:tcW w:type="dxa" w:w="13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12</w:t>
            </w:r>
          </w:p>
        </w:tc>
        <w:tc>
          <w:tcPr>
            <w:tcW w:type="dxa" w:w="3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12 × 5.0 = 60.0</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Sovereignty Action</w:t>
            </w:r>
          </w:p>
        </w:tc>
        <w:tc>
          <w:tcPr>
            <w:tcW w:type="dxa" w:w="1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C62828"/>
                <w:sz w:val="20"/>
                <w:szCs w:val="20"/>
              </w:rPr>
              <w:t xml:space="preserve">Very High</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4.0</w:t>
            </w:r>
          </w:p>
        </w:tc>
        <w:tc>
          <w:tcPr>
            <w:tcW w:type="dxa" w:w="1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22</w:t>
            </w:r>
          </w:p>
        </w:tc>
        <w:tc>
          <w:tcPr>
            <w:tcW w:type="dxa" w:w="3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22 × 4.0 = 88.0</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Financial Exposure</w:t>
            </w:r>
          </w:p>
        </w:tc>
        <w:tc>
          <w:tcPr>
            <w:tcW w:type="dxa" w:w="1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C62828"/>
                <w:sz w:val="20"/>
                <w:szCs w:val="20"/>
              </w:rPr>
              <w:t xml:space="preserve">Very High</w:t>
            </w:r>
          </w:p>
        </w:tc>
        <w:tc>
          <w:tcPr>
            <w:tcW w:type="dxa" w:w="1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4.0</w:t>
            </w:r>
          </w:p>
        </w:tc>
        <w:tc>
          <w:tcPr>
            <w:tcW w:type="dxa" w:w="1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47.1</w:t>
            </w:r>
          </w:p>
        </w:tc>
        <w:tc>
          <w:tcPr>
            <w:tcW w:type="dxa" w:w="3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47.1 × 4.0 = 188.4</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Regulatory Impact</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3.0</w:t>
            </w:r>
          </w:p>
        </w:tc>
        <w:tc>
          <w:tcPr>
            <w:tcW w:type="dxa" w:w="1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18</w:t>
            </w:r>
          </w:p>
        </w:tc>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18 × 3.0 = 54.0</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Reputational Risk</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3.0</w:t>
            </w:r>
          </w:p>
        </w:tc>
        <w:tc>
          <w:tcPr>
            <w:tcW w:type="dxa" w:w="1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8 × 3.0 = 24.0</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Rights Certainty</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3.0</w:t>
            </w:r>
          </w:p>
        </w:tc>
        <w:tc>
          <w:tcPr>
            <w:tcW w:type="dxa" w:w="1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15</w:t>
            </w:r>
          </w:p>
        </w:tc>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15 × 3.0 = 45.0</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Doctrinal Alignment</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2.0</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5 × 2.0 = 10.0</w:t>
            </w:r>
          </w:p>
        </w:tc>
      </w:tr>
    </w:tbl>
    <w:p>
      <w:pPr>
        <w:pStyle w:val="Heading2"/>
        <w:spacing w:after="160" w:before="280"/>
      </w:pPr>
      <w:r>
        <w:rPr>
          <w:rFonts w:ascii="Arial" w:cs="Arial" w:eastAsia="Arial" w:hAnsi="Arial"/>
          <w:b/>
          <w:bCs/>
          <w:color w:val="2E75B6"/>
          <w:sz w:val="28"/>
          <w:szCs w:val="28"/>
        </w:rPr>
        <w:t xml:space="preserve">6.2 Composite Calculation</w:t>
      </w:r>
    </w:p>
    <w:p>
      <w:pPr>
        <w:spacing w:after="100" w:before="100"/>
        <w:ind w:left="360"/>
      </w:pPr>
      <w:r>
        <w:rPr>
          <w:rFonts w:ascii="Courier New" w:cs="Courier New" w:eastAsia="Courier New" w:hAnsi="Courier New"/>
          <w:b/>
          <w:bCs/>
          <w:sz w:val="22"/>
          <w:szCs w:val="22"/>
        </w:rPr>
        <w:t xml:space="preserve">Weighted Sum = 60.0 + 88.0 + 188.4 + 54.0 + 24.0 + 45.0 + 10.0 = 469.4</w:t>
      </w:r>
    </w:p>
    <w:p>
      <w:pPr>
        <w:spacing w:after="100" w:before="100"/>
        <w:ind w:left="360"/>
      </w:pPr>
      <w:r>
        <w:rPr>
          <w:rFonts w:ascii="Courier New" w:cs="Courier New" w:eastAsia="Courier New" w:hAnsi="Courier New"/>
          <w:b/>
          <w:bCs/>
          <w:sz w:val="22"/>
          <w:szCs w:val="22"/>
        </w:rPr>
        <w:t xml:space="preserve">Composite = 469.4 / 24.0 = 19.56</w:t>
      </w:r>
    </w:p>
    <w:p>
      <w:pPr>
        <w:spacing w:after="120" w:before="80"/>
      </w:pPr>
      <w:r>
        <w:rPr>
          <w:rFonts w:ascii="Arial" w:cs="Arial" w:eastAsia="Arial" w:hAnsi="Arial"/>
          <w:sz w:val="22"/>
          <w:szCs w:val="22"/>
        </w:rPr>
        <w:t xml:space="preserve">Critical Dimension Override: max(Score_d) = 47.1 (Financial Exposure) &lt; 75 → No override.</w:t>
      </w:r>
    </w:p>
    <w:p>
      <w:pPr>
        <w:spacing w:after="120" w:before="80"/>
      </w:pPr>
      <w:r>
        <w:rPr>
          <w:rFonts w:ascii="Arial" w:cs="Arial" w:eastAsia="Arial" w:hAnsi="Arial"/>
          <w:sz w:val="22"/>
          <w:szCs w:val="22"/>
        </w:rPr>
        <w:t xml:space="preserve">Non-Idempotent Penalty: Financial transaction is non-idempotent → +15.</w:t>
      </w:r>
    </w:p>
    <w:p>
      <w:pPr>
        <w:spacing w:after="100" w:before="100"/>
        <w:ind w:left="360"/>
      </w:pPr>
      <w:r>
        <w:rPr>
          <w:rFonts w:ascii="Courier New" w:cs="Courier New" w:eastAsia="Courier New" w:hAnsi="Courier New"/>
          <w:b/>
          <w:bCs/>
          <w:sz w:val="22"/>
          <w:szCs w:val="22"/>
        </w:rPr>
        <w:t xml:space="preserve">Final Composite = 19.56 + 15 = 34.56 → ELEVATED tier</w:t>
      </w:r>
    </w:p>
    <w:p>
      <w:pPr>
        <w:spacing w:after="120" w:before="80"/>
      </w:pPr>
      <w:r>
        <w:rPr>
          <w:rFonts w:ascii="Arial" w:cs="Arial" w:eastAsia="Arial" w:hAnsi="Arial"/>
          <w:sz w:val="22"/>
          <w:szCs w:val="22"/>
        </w:rPr>
        <w:t xml:space="preserve">Result: Exception packet generated. Finance Governor and CFO review. The Non-Idempotent Penalty pushed this from MODERATE (19.56) to ELEVATED (34.56)—exactly the kind of escalation that prevents a $250K irreversible commitment from proceeding without human review.</w:t>
      </w:r>
    </w:p>
    <w:p>
      <w:r>
        <w:br w:type="page"/>
      </w:r>
    </w:p>
    <w:p>
      <w:pPr>
        <w:pStyle w:val="Heading1"/>
        <w:spacing w:after="200" w:before="360"/>
      </w:pPr>
      <w:r>
        <w:rPr>
          <w:rFonts w:ascii="Arial" w:cs="Arial" w:eastAsia="Arial" w:hAnsi="Arial"/>
          <w:b/>
          <w:bCs/>
          <w:color w:val="1F4E79"/>
          <w:sz w:val="36"/>
          <w:szCs w:val="36"/>
        </w:rPr>
        <w:t xml:space="preserve">7. Migration from v3.1 Numeric Weights</w:t>
      </w:r>
    </w:p>
    <w:p>
      <w:pPr>
        <w:spacing w:after="120" w:before="80"/>
      </w:pPr>
      <w:r>
        <w:rPr>
          <w:rFonts w:ascii="Arial" w:cs="Arial" w:eastAsia="Arial" w:hAnsi="Arial"/>
          <w:sz w:val="22"/>
          <w:szCs w:val="22"/>
        </w:rPr>
        <w:t xml:space="preserve">Organizations upgrading from v3.1 should map their existing numeric weights to the nearest Priority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880"/>
        <w:gridCol w:w="188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v3.1 Weight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v3.2 Tier</w:t>
            </w:r>
          </w:p>
        </w:tc>
        <w:tc>
          <w:tcPr>
            <w:tcW w:type="dxa" w:w="1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v3.2 Weight</w:t>
            </w:r>
          </w:p>
        </w:tc>
        <w:tc>
          <w:tcPr>
            <w:tcW w:type="dxa" w:w="1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Impact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A1B9A"/>
                <w:sz w:val="20"/>
                <w:szCs w:val="20"/>
              </w:rPr>
              <w:t xml:space="preserve">Top</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 (promoted to Top)</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Sovereignty Action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4.0</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C62828"/>
                <w:sz w:val="20"/>
                <w:szCs w:val="20"/>
              </w:rPr>
              <w:t xml:space="preserve">Very High</w:t>
            </w:r>
          </w:p>
        </w:tc>
        <w:tc>
          <w:tcPr>
            <w:tcW w:type="dxa" w:w="1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4.0</w:t>
            </w:r>
          </w:p>
        </w:tc>
        <w:tc>
          <w:tcPr>
            <w:tcW w:type="dxa" w:w="1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Exposure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Very High</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 (equalized with Sovereignty)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Regulatory Impact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3.5</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w:t>
            </w:r>
          </w:p>
        </w:tc>
        <w:tc>
          <w:tcPr>
            <w:tcW w:type="dxa" w:w="1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–0.5 (grouped with peer risks)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Reputational Risk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 (equalized with peers)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Rights Certainty</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w:t>
            </w:r>
          </w:p>
        </w:tc>
        <w:tc>
          <w:tcPr>
            <w:tcW w:type="dxa" w:w="1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–0.2 (equalized with peers)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Doctrinal Alignment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(distinct from High group)</w:t>
            </w:r>
          </w:p>
        </w:tc>
      </w:tr>
      <w:tr>
        <w:tc>
          <w:tcPr>
            <w:tcW w:type="dxa" w:w="2400"/>
            <w:tcBorders>
              <w:top w:val="single" w:color="CCCCCC" w:sz="1"/>
              <w:left w:val="single" w:color="CCCCCC" w:sz="1"/>
              <w:bottom w:val="single" w:color="CCCCCC" w:sz="1"/>
              <w:right w:val="single" w:color="CCCCCC" w:sz="1"/>
            </w:tcBorders>
            <w:shd w:fill="E6EEF5" w:val="clear"/>
            <w:tcMar>
              <w:top w:type="dxa" w:w="80"/>
              <w:left w:type="dxa" w:w="120"/>
              <w:bottom w:type="dxa" w:w="80"/>
              <w:right w:type="dxa" w:w="120"/>
            </w:tcMar>
          </w:tcPr>
          <w:p>
            <w:r>
              <w:rPr>
                <w:rFonts w:ascii="Arial" w:cs="Arial" w:eastAsia="Arial" w:hAnsi="Arial"/>
                <w:b/>
                <w:bCs/>
                <w:sz w:val="20"/>
                <w:szCs w:val="20"/>
              </w:rPr>
              <w:t xml:space="preserve">Σ TOTAL</w:t>
            </w:r>
          </w:p>
        </w:tc>
        <w:tc>
          <w:tcPr>
            <w:tcW w:type="dxa" w:w="1600"/>
            <w:tcBorders>
              <w:top w:val="single" w:color="CCCCCC" w:sz="1"/>
              <w:left w:val="single" w:color="CCCCCC" w:sz="1"/>
              <w:bottom w:val="single" w:color="CCCCCC" w:sz="1"/>
              <w:right w:val="single" w:color="CCCCCC" w:sz="1"/>
            </w:tcBorders>
            <w:shd w:fill="E6EEF5" w:val="clear"/>
            <w:tcMar>
              <w:top w:type="dxa" w:w="80"/>
              <w:left w:type="dxa" w:w="120"/>
              <w:bottom w:type="dxa" w:w="80"/>
              <w:right w:type="dxa" w:w="120"/>
            </w:tcMar>
          </w:tcPr>
          <w:p>
            <w:r>
              <w:rPr>
                <w:rFonts w:ascii="Arial" w:cs="Arial" w:eastAsia="Arial" w:hAnsi="Arial"/>
                <w:b/>
                <w:bCs/>
                <w:sz w:val="20"/>
                <w:szCs w:val="20"/>
              </w:rPr>
              <w:t xml:space="preserve">25.2</w:t>
            </w:r>
          </w:p>
        </w:tc>
        <w:tc>
          <w:tcPr>
            <w:tcW w:type="dxa" w:w="1600"/>
            <w:tcBorders>
              <w:top w:val="single" w:color="CCCCCC" w:sz="1"/>
              <w:left w:val="single" w:color="CCCCCC" w:sz="1"/>
              <w:bottom w:val="single" w:color="CCCCCC" w:sz="1"/>
              <w:right w:val="single" w:color="CCCCCC" w:sz="1"/>
            </w:tcBorders>
            <w:shd w:fill="E6EEF5" w:val="clear"/>
            <w:tcMar>
              <w:top w:type="dxa" w:w="80"/>
              <w:left w:type="dxa" w:w="120"/>
              <w:bottom w:type="dxa" w:w="80"/>
              <w:right w:type="dxa" w:w="120"/>
            </w:tcMar>
          </w:tcPr>
          <w:p>
            <w:r>
              <w:rPr>
                <w:rFonts w:ascii="Arial" w:cs="Arial" w:eastAsia="Arial" w:hAnsi="Arial"/>
                <w:sz w:val="20"/>
                <w:szCs w:val="20"/>
              </w:rPr>
              <w:t xml:space="preserve"/>
            </w:r>
          </w:p>
        </w:tc>
        <w:tc>
          <w:tcPr>
            <w:tcW w:type="dxa" w:w="1880"/>
            <w:tcBorders>
              <w:top w:val="single" w:color="CCCCCC" w:sz="1"/>
              <w:left w:val="single" w:color="CCCCCC" w:sz="1"/>
              <w:bottom w:val="single" w:color="CCCCCC" w:sz="1"/>
              <w:right w:val="single" w:color="CCCCCC" w:sz="1"/>
            </w:tcBorders>
            <w:shd w:fill="E6EEF5" w:val="clear"/>
            <w:tcMar>
              <w:top w:type="dxa" w:w="80"/>
              <w:left w:type="dxa" w:w="120"/>
              <w:bottom w:type="dxa" w:w="80"/>
              <w:right w:type="dxa" w:w="120"/>
            </w:tcMar>
          </w:tcPr>
          <w:p>
            <w:r>
              <w:rPr>
                <w:rFonts w:ascii="Arial" w:cs="Arial" w:eastAsia="Arial" w:hAnsi="Arial"/>
                <w:b/>
                <w:bCs/>
                <w:sz w:val="20"/>
                <w:szCs w:val="20"/>
              </w:rPr>
              <w:t xml:space="preserve">24.0</w:t>
            </w:r>
          </w:p>
        </w:tc>
        <w:tc>
          <w:tcPr>
            <w:tcW w:type="dxa" w:w="1880"/>
            <w:tcBorders>
              <w:top w:val="single" w:color="CCCCCC" w:sz="1"/>
              <w:left w:val="single" w:color="CCCCCC" w:sz="1"/>
              <w:bottom w:val="single" w:color="CCCCCC" w:sz="1"/>
              <w:right w:val="single" w:color="CCCCCC" w:sz="1"/>
            </w:tcBorders>
            <w:shd w:fill="E6EEF5" w:val="clear"/>
            <w:tcMar>
              <w:top w:type="dxa" w:w="80"/>
              <w:left w:type="dxa" w:w="120"/>
              <w:bottom w:type="dxa" w:w="80"/>
              <w:right w:type="dxa" w:w="120"/>
            </w:tcMar>
          </w:tcPr>
          <w:p>
            <w:r>
              <w:rPr>
                <w:rFonts w:ascii="Arial" w:cs="Arial" w:eastAsia="Arial" w:hAnsi="Arial"/>
                <w:b/>
                <w:bCs/>
                <w:sz w:val="20"/>
                <w:szCs w:val="20"/>
              </w:rPr>
              <w:t xml:space="preserve">–1.2</w:t>
            </w:r>
          </w:p>
        </w:tc>
      </w:tr>
    </w:tbl>
    <w:p>
      <w:pPr>
        <w:spacing w:after="120" w:before="80"/>
      </w:pPr>
      <w:r>
        <w:rPr>
          <w:rFonts w:ascii="Arial" w:cs="Arial" w:eastAsia="Arial" w:hAnsi="Arial"/>
          <w:sz w:val="22"/>
          <w:szCs w:val="22"/>
        </w:rPr>
        <w:t xml:space="preserve">The net effect: Security gets clearer dominance as the Top priority. Financial Exposure is properly equalized with Sovereignty. The three High dimensions stop pretending their decimal differences were meaningful. And Doctrinal Alignment is explicitly recognized as important-but-less-urgent rather than being artificially close to the High group.</w:t>
      </w:r>
    </w:p>
    <w:p>
      <w:r>
        <w:br w:type="page"/>
      </w:r>
    </w:p>
    <w:p>
      <w:pPr>
        <w:pStyle w:val="Heading1"/>
        <w:spacing w:after="200" w:before="360"/>
      </w:pPr>
      <w:r>
        <w:rPr>
          <w:rFonts w:ascii="Arial" w:cs="Arial" w:eastAsia="Arial" w:hAnsi="Arial"/>
          <w:b/>
          <w:bCs/>
          <w:color w:val="1F4E79"/>
          <w:sz w:val="36"/>
          <w:szCs w:val="36"/>
        </w:rPr>
        <w:t xml:space="preserve">Appendix A: Framework Attribution Summary</w:t>
      </w:r>
    </w:p>
    <w:p>
      <w:pPr>
        <w:spacing w:after="120" w:before="80"/>
      </w:pPr>
      <w:r>
        <w:rPr>
          <w:rFonts w:ascii="Arial" w:cs="Arial" w:eastAsia="Arial" w:hAnsi="Arial"/>
          <w:sz w:val="22"/>
          <w:szCs w:val="22"/>
        </w:rPr>
        <w:t xml:space="preserve">Each BOSS dimension draws from internationally recognized, publicly documented frameworks. All framework attributions from v3.1 remain unchanged:</w:t>
      </w:r>
    </w:p>
    <w:p>
      <w:pPr>
        <w:pStyle w:val="ListParagraph"/>
        <w:numPr>
          <w:ilvl w:val="0"/>
          <w:numId w:val="2"/>
        </w:numPr>
        <w:spacing w:after="40" w:before="40"/>
      </w:pPr>
      <w:r>
        <w:rPr>
          <w:rFonts w:ascii="Arial" w:cs="Arial" w:eastAsia="Arial" w:hAnsi="Arial"/>
          <w:b/>
          <w:bCs/>
          <w:sz w:val="22"/>
          <w:szCs w:val="22"/>
        </w:rPr>
        <w:t xml:space="preserve">Sovereignty: </w:t>
      </w:r>
      <w:r>
        <w:rPr>
          <w:rFonts w:ascii="Arial" w:cs="Arial" w:eastAsia="Arial" w:hAnsi="Arial"/>
          <w:sz w:val="22"/>
          <w:szCs w:val="22"/>
        </w:rPr>
        <w:t xml:space="preserve">SEAL (EU Cloud Sovereignty Framework) + Eurotechguide Sovereignty Index</w:t>
      </w:r>
    </w:p>
    <w:p>
      <w:pPr>
        <w:pStyle w:val="ListParagraph"/>
        <w:numPr>
          <w:ilvl w:val="0"/>
          <w:numId w:val="2"/>
        </w:numPr>
        <w:spacing w:after="40" w:before="40"/>
      </w:pPr>
      <w:r>
        <w:rPr>
          <w:rFonts w:ascii="Arial" w:cs="Arial" w:eastAsia="Arial" w:hAnsi="Arial"/>
          <w:b/>
          <w:bCs/>
          <w:sz w:val="22"/>
          <w:szCs w:val="22"/>
        </w:rPr>
        <w:t xml:space="preserve">Financial: </w:t>
      </w:r>
      <w:r>
        <w:rPr>
          <w:rFonts w:ascii="Arial" w:cs="Arial" w:eastAsia="Arial" w:hAnsi="Arial"/>
          <w:sz w:val="22"/>
          <w:szCs w:val="22"/>
        </w:rPr>
        <w:t xml:space="preserve">FAIR (Factor Analysis of Information Risk) + COSO ERM</w:t>
      </w:r>
    </w:p>
    <w:p>
      <w:pPr>
        <w:pStyle w:val="ListParagraph"/>
        <w:numPr>
          <w:ilvl w:val="0"/>
          <w:numId w:val="2"/>
        </w:numPr>
        <w:spacing w:after="40" w:before="40"/>
      </w:pPr>
      <w:r>
        <w:rPr>
          <w:rFonts w:ascii="Arial" w:cs="Arial" w:eastAsia="Arial" w:hAnsi="Arial"/>
          <w:b/>
          <w:bCs/>
          <w:sz w:val="22"/>
          <w:szCs w:val="22"/>
        </w:rPr>
        <w:t xml:space="preserve">Regulatory: </w:t>
      </w:r>
      <w:r>
        <w:rPr>
          <w:rFonts w:ascii="Arial" w:cs="Arial" w:eastAsia="Arial" w:hAnsi="Arial"/>
          <w:sz w:val="22"/>
          <w:szCs w:val="22"/>
        </w:rPr>
        <w:t xml:space="preserve">EU AI Act + GRC Compliance Scoring</w:t>
      </w:r>
    </w:p>
    <w:p>
      <w:pPr>
        <w:pStyle w:val="ListParagraph"/>
        <w:numPr>
          <w:ilvl w:val="0"/>
          <w:numId w:val="2"/>
        </w:numPr>
        <w:spacing w:after="40" w:before="40"/>
      </w:pPr>
      <w:r>
        <w:rPr>
          <w:rFonts w:ascii="Arial" w:cs="Arial" w:eastAsia="Arial" w:hAnsi="Arial"/>
          <w:b/>
          <w:bCs/>
          <w:sz w:val="22"/>
          <w:szCs w:val="22"/>
        </w:rPr>
        <w:t xml:space="preserve">Rights: </w:t>
      </w:r>
      <w:r>
        <w:rPr>
          <w:rFonts w:ascii="Arial" w:cs="Arial" w:eastAsia="Arial" w:hAnsi="Arial"/>
          <w:sz w:val="22"/>
          <w:szCs w:val="22"/>
        </w:rPr>
        <w:t xml:space="preserve">ISO 31000 + NIST AI Risk Management Framework</w:t>
      </w:r>
    </w:p>
    <w:p>
      <w:pPr>
        <w:pStyle w:val="ListParagraph"/>
        <w:numPr>
          <w:ilvl w:val="0"/>
          <w:numId w:val="2"/>
        </w:numPr>
        <w:spacing w:after="40" w:before="40"/>
      </w:pPr>
      <w:r>
        <w:rPr>
          <w:rFonts w:ascii="Arial" w:cs="Arial" w:eastAsia="Arial" w:hAnsi="Arial"/>
          <w:b/>
          <w:bCs/>
          <w:sz w:val="22"/>
          <w:szCs w:val="22"/>
        </w:rPr>
        <w:t xml:space="preserve">Security: </w:t>
      </w:r>
      <w:r>
        <w:rPr>
          <w:rFonts w:ascii="Arial" w:cs="Arial" w:eastAsia="Arial" w:hAnsi="Arial"/>
          <w:sz w:val="22"/>
          <w:szCs w:val="22"/>
        </w:rPr>
        <w:t xml:space="preserve">NIST CSF 2.0 + CVSS v4.0 + MITRE ATT&amp;CK</w:t>
      </w:r>
    </w:p>
    <w:p>
      <w:pPr>
        <w:pStyle w:val="ListParagraph"/>
        <w:numPr>
          <w:ilvl w:val="0"/>
          <w:numId w:val="2"/>
        </w:numPr>
        <w:spacing w:after="40" w:before="40"/>
      </w:pPr>
      <w:r>
        <w:rPr>
          <w:rFonts w:ascii="Arial" w:cs="Arial" w:eastAsia="Arial" w:hAnsi="Arial"/>
          <w:b/>
          <w:bCs/>
          <w:sz w:val="22"/>
          <w:szCs w:val="22"/>
        </w:rPr>
        <w:t xml:space="preserve">Doctrinal: </w:t>
      </w:r>
      <w:r>
        <w:rPr>
          <w:rFonts w:ascii="Arial" w:cs="Arial" w:eastAsia="Arial" w:hAnsi="Arial"/>
          <w:sz w:val="22"/>
          <w:szCs w:val="22"/>
        </w:rPr>
        <w:t xml:space="preserve">COSO ERM Governance + ADAM CORE Engine</w:t>
      </w:r>
    </w:p>
    <w:p>
      <w:pPr>
        <w:pStyle w:val="ListParagraph"/>
        <w:numPr>
          <w:ilvl w:val="0"/>
          <w:numId w:val="2"/>
        </w:numPr>
        <w:spacing w:after="40" w:before="40"/>
      </w:pPr>
      <w:r>
        <w:rPr>
          <w:rFonts w:ascii="Arial" w:cs="Arial" w:eastAsia="Arial" w:hAnsi="Arial"/>
          <w:b/>
          <w:bCs/>
          <w:sz w:val="22"/>
          <w:szCs w:val="22"/>
        </w:rPr>
        <w:t xml:space="preserve">Reputational: </w:t>
      </w:r>
      <w:r>
        <w:rPr>
          <w:rFonts w:ascii="Arial" w:cs="Arial" w:eastAsia="Arial" w:hAnsi="Arial"/>
          <w:sz w:val="22"/>
          <w:szCs w:val="22"/>
        </w:rPr>
        <w:t xml:space="preserve">RepRisk RRI + RepTrak ESG</w:t>
      </w:r>
    </w:p>
    <w:p>
      <w:pPr>
        <w:pStyle w:val="Heading1"/>
        <w:spacing w:after="200" w:before="360"/>
      </w:pPr>
      <w:r>
        <w:rPr>
          <w:rFonts w:ascii="Arial" w:cs="Arial" w:eastAsia="Arial" w:hAnsi="Arial"/>
          <w:b/>
          <w:bCs/>
          <w:color w:val="1F4E79"/>
          <w:sz w:val="36"/>
          <w:szCs w:val="36"/>
        </w:rPr>
        <w:t xml:space="preserve">Appendix B: Version History</w:t>
      </w:r>
    </w:p>
    <w:p>
      <w:pPr>
        <w:pStyle w:val="ListParagraph"/>
        <w:numPr>
          <w:ilvl w:val="0"/>
          <w:numId w:val="2"/>
        </w:numPr>
        <w:spacing w:after="40" w:before="40"/>
      </w:pPr>
      <w:r>
        <w:rPr>
          <w:rFonts w:ascii="Arial" w:cs="Arial" w:eastAsia="Arial" w:hAnsi="Arial"/>
          <w:b/>
          <w:bCs/>
          <w:sz w:val="22"/>
          <w:szCs w:val="22"/>
        </w:rPr>
        <w:t xml:space="preserve">v3.0: </w:t>
      </w:r>
      <w:r>
        <w:rPr>
          <w:rFonts w:ascii="Arial" w:cs="Arial" w:eastAsia="Arial" w:hAnsi="Arial"/>
          <w:sz w:val="22"/>
          <w:szCs w:val="22"/>
        </w:rPr>
        <w:t xml:space="preserve">Comprehensive architecture with 7 dimensions, worked examples, and NetStreamX scenarios.</w:t>
      </w:r>
    </w:p>
    <w:p>
      <w:pPr>
        <w:pStyle w:val="ListParagraph"/>
        <w:numPr>
          <w:ilvl w:val="0"/>
          <w:numId w:val="2"/>
        </w:numPr>
        <w:spacing w:after="40" w:before="40"/>
      </w:pPr>
      <w:r>
        <w:rPr>
          <w:rFonts w:ascii="Arial" w:cs="Arial" w:eastAsia="Arial" w:hAnsi="Arial"/>
          <w:b/>
          <w:bCs/>
          <w:sz w:val="22"/>
          <w:szCs w:val="22"/>
        </w:rPr>
        <w:t xml:space="preserve">v3.1: </w:t>
      </w:r>
      <w:r>
        <w:rPr>
          <w:rFonts w:ascii="Arial" w:cs="Arial" w:eastAsia="Arial" w:hAnsi="Arial"/>
          <w:sz w:val="22"/>
          <w:szCs w:val="22"/>
        </w:rPr>
        <w:t xml:space="preserve">Merged edition adding detailed sub-component formulas, threshold tables, and penalty rules.</w:t>
      </w:r>
    </w:p>
    <w:p>
      <w:pPr>
        <w:pStyle w:val="ListParagraph"/>
        <w:numPr>
          <w:ilvl w:val="0"/>
          <w:numId w:val="2"/>
        </w:numPr>
        <w:spacing w:after="40" w:before="40"/>
      </w:pPr>
      <w:r>
        <w:rPr>
          <w:rFonts w:ascii="Arial" w:cs="Arial" w:eastAsia="Arial" w:hAnsi="Arial"/>
          <w:b/>
          <w:bCs/>
          <w:sz w:val="22"/>
          <w:szCs w:val="22"/>
        </w:rPr>
        <w:t xml:space="preserve">v3.2: </w:t>
      </w:r>
      <w:r>
        <w:rPr>
          <w:rFonts w:ascii="Arial" w:cs="Arial" w:eastAsia="Arial" w:hAnsi="Arial"/>
          <w:sz w:val="22"/>
          <w:szCs w:val="22"/>
        </w:rPr>
        <w:t xml:space="preserve">Priority Tier Edition. Replaces numeric weights with human-readable tier scale. Equalizes contribution percentages within tiers. Introduces Top constraint. Updates composite formula denominator from 25.2 to 24.0. All sub-component formulas unchanged.</w:t>
      </w:r>
    </w:p>
    <w:p>
      <w:pPr>
        <w:spacing w:after="100" w:before="60"/>
        <w:ind w:left="360"/>
      </w:pPr>
      <w:r>
        <w:rPr>
          <w:rFonts w:ascii="Arial" w:cs="Arial" w:eastAsia="Arial" w:hAnsi="Arial"/>
          <w:i/>
          <w:iCs/>
          <w:color w:val="666666"/>
          <w:sz w:val="20"/>
          <w:szCs w:val="20"/>
        </w:rPr>
        <w:t xml:space="preserve">V3.2 Note: This document updates the dimension weighting system from arbitrary numeric weights to the Priority Tier scale. All sub-component formulas, threshold definitions, worked examples (within individual dimensions), and framework attributions from v3.1 remain valid and unchanged. Only the composite formula denominator (now 24.0) and individual dimension weights (now derived from tier assignments) have been modified. Organizations using the BOSS Weight Recalculation Tool should update to the Priority Tier Recalculation Tool (boss_tier_recalc.py) which accepts tier assignments instead of raw numeric weights.</w:t>
      </w:r>
    </w:p>
    <w:p w14:paraId="1C000001" w14:textId="2C000002" w:rsidR="00AA1D8D" w:rsidRDefault="00AA1D8D">
      <w:pPr>
        <w:spacing w:after="120" w:before="240"/>
      </w:pPr>
      <w:r>
        <w:rPr>
          <w:rFonts w:ascii="Arial" w:cs="Arial" w:eastAsia="Arial" w:hAnsi="Arial"/>
          <w:b/>
          <w:bCs/>
          <w:sz w:val="28"/>
          <w:szCs w:val="28"/>
        </w:rPr>
        <w:t>Appendix C: Sub-Component Formula Restoration Guide</w:t>
      </w:r>
    </w:p>
    <w:p w14:paraId="1C000003" w14:textId="2C000004" w:rsidR="00AA1D8D" w:rsidRDefault="00AA1D8D">
      <w:pPr>
        <w:spacing w:after="120" w:before="120"/>
      </w:pPr>
      <w:r>
        <w:rPr>
          <w:rFonts w:ascii="Arial" w:cs="Arial" w:eastAsia="Arial" w:hAnsi="Arial"/>
          <w:sz w:val="22"/>
          <w:szCs w:val="22"/>
        </w:rPr>
        <w:t>The v3.1 edition included detailed sub-component breakdowns for each BOSS dimension. The v3.2 Priority Tier system is superior to the old fixed-weight system, and sub-component formulas should slot under the existing tier structure, not replace it. This appendix provides the dimensional decomposition reference to ensure each dimension retains its granular scoring capability.</w:t>
      </w:r>
    </w:p>
    <w:tbl>
      <w:tblPr>
        <w:tblW w:type="dxa" w:w="9360"/>
        <w:jc w:val="center"/>
        <w:tblBorders>
          <w:top w:val="single" w:sz="4" w:color="CCCCCC" w:space="0"/>
          <w:left w:val="single" w:sz="4" w:color="CCCCCC" w:space="0"/>
          <w:bottom w:val="single" w:sz="4" w:color="CCCCCC" w:space="0"/>
          <w:right w:val="single" w:sz="4" w:color="CCCCCC" w:space="0"/>
          <w:insideH w:val="single" w:sz="4" w:color="CCCCCC" w:space="0"/>
          <w:insideV w:val="single" w:sz="4" w:color="CCCCCC" w:space="0"/>
        </w:tblBorders>
        <w:tblLook w:firstColumn="1" w:firstRow="1" w:lastColumn="0" w:lastRow="0" w:noHBand="0" w:noVBand="1" w:val="04A0"/>
      </w:tblPr>
      <w:tblGrid>
        <w:gridCol w:w="1800"/>
        <w:gridCol w:w="4600"/>
        <w:gridCol w:w="2960"/>
      </w:tblGrid>
      <w:tr>
        <w:tc>
          <w:tcPr>
            <w:tcW w:type="dxa" w:w="1800"/>
            <w:tcBorders>
              <w:top w:val="single" w:sz="4" w:color="1B3A5C" w:space="0"/>
              <w:left w:val="single" w:sz="4" w:color="1B3A5C" w:space="0"/>
              <w:bottom w:val="single" w:sz="4" w:color="1B3A5C" w:space="0"/>
              <w:right w:val="single" w:sz="4" w:color="1B3A5C" w:space="0"/>
            </w:tcBorders>
            <w:shd w:fill="1B3A5C" w:val="clear"/>
          </w:tcPr>
          <w:p w14:paraId="1C000005" w14:textId="2C000006" w:rsidR="00AA1D8D" w:rsidRDefault="00AA1D8D">
            <w:pPr>
              <w:spacing w:before="40" w:after="40"/>
            </w:pPr>
            <w:r>
              <w:rPr>
                <w:rFonts w:ascii="Arial" w:cs="Arial" w:hAnsi="Arial"/>
                <w:b/>
                <w:bCs/>
                <w:color w:val="FFFFFF"/>
                <w:sz w:val="18"/>
                <w:szCs w:val="18"/>
              </w:rPr>
              <w:t>BOSS Dimension</w:t>
            </w:r>
          </w:p>
        </w:tc>
        <w:tc>
          <w:tcPr>
            <w:tcW w:type="dxa" w:w="4600"/>
            <w:tcBorders>
              <w:top w:val="single" w:sz="4" w:color="1B3A5C" w:space="0"/>
              <w:left w:val="single" w:sz="4" w:color="1B3A5C" w:space="0"/>
              <w:bottom w:val="single" w:sz="4" w:color="1B3A5C" w:space="0"/>
              <w:right w:val="single" w:sz="4" w:color="1B3A5C" w:space="0"/>
            </w:tcBorders>
            <w:shd w:fill="1B3A5C" w:val="clear"/>
          </w:tcPr>
          <w:p w14:paraId="1C000007" w14:textId="2C000008" w:rsidR="00AA1D8D" w:rsidRDefault="00AA1D8D">
            <w:pPr>
              <w:spacing w:before="40" w:after="40"/>
            </w:pPr>
            <w:r>
              <w:rPr>
                <w:rFonts w:ascii="Arial" w:cs="Arial" w:hAnsi="Arial"/>
                <w:b/>
                <w:bCs/>
                <w:color w:val="FFFFFF"/>
                <w:sz w:val="18"/>
                <w:szCs w:val="18"/>
              </w:rPr>
              <w:t>Sub-Components (from Archive)</w:t>
            </w:r>
          </w:p>
        </w:tc>
        <w:tc>
          <w:tcPr>
            <w:tcW w:type="dxa" w:w="2960"/>
            <w:tcBorders>
              <w:top w:val="single" w:sz="4" w:color="1B3A5C" w:space="0"/>
              <w:left w:val="single" w:sz="4" w:color="1B3A5C" w:space="0"/>
              <w:bottom w:val="single" w:sz="4" w:color="1B3A5C" w:space="0"/>
              <w:right w:val="single" w:sz="4" w:color="1B3A5C" w:space="0"/>
            </w:tcBorders>
            <w:shd w:fill="1B3A5C" w:val="clear"/>
          </w:tcPr>
          <w:p w14:paraId="1C000009" w14:textId="2C00000A" w:rsidR="00AA1D8D" w:rsidRDefault="00AA1D8D">
            <w:pPr>
              <w:spacing w:before="40" w:after="40"/>
            </w:pPr>
            <w:r>
              <w:rPr>
                <w:rFonts w:ascii="Arial" w:cs="Arial" w:hAnsi="Arial"/>
                <w:b/>
                <w:bCs/>
                <w:color w:val="FFFFFF"/>
                <w:sz w:val="18"/>
                <w:szCs w:val="18"/>
              </w:rPr>
              <w:t>Status in v3.2</w:t>
            </w:r>
          </w:p>
        </w:tc>
      </w:tr>
      <w:tr>
        <w:tc>
          <w:tcPr>
            <w:tcW w:type="dxa" w:w="1800"/>
            <w:tcBorders>
              <w:top w:val="single" w:sz="4" w:color="CCCCCC" w:space="0"/>
              <w:left w:val="single" w:sz="4" w:color="CCCCCC" w:space="0"/>
              <w:bottom w:val="single" w:sz="4" w:color="CCCCCC" w:space="0"/>
              <w:right w:val="single" w:sz="4" w:color="CCCCCC" w:space="0"/>
            </w:tcBorders>
            <w:shd w:fill="F2F7FB" w:val="clear"/>
          </w:tcPr>
          <w:p w14:paraId="1C00000B" w14:textId="2C00000C" w:rsidR="00AA1D8D" w:rsidRDefault="00AA1D8D">
            <w:pPr>
              <w:spacing w:before="40" w:after="40"/>
            </w:pPr>
            <w:r>
              <w:rPr>
                <w:rFonts w:ascii="Arial" w:cs="Arial" w:hAnsi="Arial"/>
                <w:sz w:val="18"/>
                <w:szCs w:val="18"/>
              </w:rPr>
              <w:t>Financial Exposure</w:t>
            </w:r>
          </w:p>
        </w:tc>
        <w:tc>
          <w:tcPr>
            <w:tcW w:type="dxa" w:w="4600"/>
            <w:tcBorders>
              <w:top w:val="single" w:sz="4" w:color="CCCCCC" w:space="0"/>
              <w:left w:val="single" w:sz="4" w:color="CCCCCC" w:space="0"/>
              <w:bottom w:val="single" w:sz="4" w:color="CCCCCC" w:space="0"/>
              <w:right w:val="single" w:sz="4" w:color="CCCCCC" w:space="0"/>
            </w:tcBorders>
            <w:shd w:fill="F2F7FB" w:val="clear"/>
          </w:tcPr>
          <w:p w14:paraId="1C00000D" w14:textId="2C00000E" w:rsidR="00AA1D8D" w:rsidRDefault="00AA1D8D">
            <w:pPr>
              <w:spacing w:before="40" w:after="40"/>
            </w:pPr>
            <w:r>
              <w:rPr>
                <w:rFonts w:ascii="Arial" w:cs="Arial" w:hAnsi="Arial"/>
                <w:sz w:val="18"/>
                <w:szCs w:val="18"/>
              </w:rPr>
              <w:t>Monetary Value (0–30), Cumulative Budget Consumption (0–25), Loss Magnitude (0–25), Cascading Risk (0–20)</w:t>
            </w:r>
          </w:p>
        </w:tc>
        <w:tc>
          <w:tcPr>
            <w:tcW w:type="dxa" w:w="2960"/>
            <w:tcBorders>
              <w:top w:val="single" w:sz="4" w:color="CCCCCC" w:space="0"/>
              <w:left w:val="single" w:sz="4" w:color="CCCCCC" w:space="0"/>
              <w:bottom w:val="single" w:sz="4" w:color="CCCCCC" w:space="0"/>
              <w:right w:val="single" w:sz="4" w:color="CCCCCC" w:space="0"/>
            </w:tcBorders>
            <w:shd w:fill="F2F7FB" w:val="clear"/>
          </w:tcPr>
          <w:p w14:paraId="1C00000F" w14:textId="2C000010" w:rsidR="00AA1D8D" w:rsidRDefault="00AA1D8D">
            <w:pPr>
              <w:spacing w:before="40" w:after="40"/>
            </w:pPr>
            <w:r>
              <w:rPr>
                <w:rFonts w:ascii="Arial" w:cs="Arial" w:hAnsi="Arial"/>
                <w:sz w:val="18"/>
                <w:szCs w:val="18"/>
              </w:rPr>
              <w:t>Composite present; verify sub-components have threshold tables and NetStreamX examples</w:t>
            </w:r>
          </w:p>
        </w:tc>
      </w:tr>
      <w:tr>
        <w:tc>
          <w:tcPr>
            <w:tcW w:type="dxa" w:w="1800"/>
            <w:tcBorders>
              <w:top w:val="single" w:sz="4" w:color="CCCCCC" w:space="0"/>
              <w:left w:val="single" w:sz="4" w:color="CCCCCC" w:space="0"/>
              <w:bottom w:val="single" w:sz="4" w:color="CCCCCC" w:space="0"/>
              <w:right w:val="single" w:sz="4" w:color="CCCCCC" w:space="0"/>
            </w:tcBorders>
            <w:shd w:fill="FFFFFF" w:val="clear"/>
          </w:tcPr>
          <w:p w14:paraId="1C000011" w14:textId="2C000012" w:rsidR="00AA1D8D" w:rsidRDefault="00AA1D8D">
            <w:pPr>
              <w:spacing w:before="40" w:after="40"/>
            </w:pPr>
            <w:r>
              <w:rPr>
                <w:rFonts w:ascii="Arial" w:cs="Arial" w:hAnsi="Arial"/>
                <w:sz w:val="18"/>
                <w:szCs w:val="18"/>
              </w:rPr>
              <w:t>Regulatory Impact</w:t>
            </w:r>
          </w:p>
        </w:tc>
        <w:tc>
          <w:tcPr>
            <w:tcW w:type="dxa" w:w="4600"/>
            <w:tcBorders>
              <w:top w:val="single" w:sz="4" w:color="CCCCCC" w:space="0"/>
              <w:left w:val="single" w:sz="4" w:color="CCCCCC" w:space="0"/>
              <w:bottom w:val="single" w:sz="4" w:color="CCCCCC" w:space="0"/>
              <w:right w:val="single" w:sz="4" w:color="CCCCCC" w:space="0"/>
            </w:tcBorders>
            <w:shd w:fill="FFFFFF" w:val="clear"/>
          </w:tcPr>
          <w:p w14:paraId="1C000013" w14:textId="2C000014" w:rsidR="00AA1D8D" w:rsidRDefault="00AA1D8D">
            <w:pPr>
              <w:spacing w:before="40" w:after="40"/>
            </w:pPr>
            <w:r>
              <w:rPr>
                <w:rFonts w:ascii="Arial" w:cs="Arial" w:hAnsi="Arial"/>
                <w:sz w:val="18"/>
                <w:szCs w:val="18"/>
              </w:rPr>
              <w:t>Jurisdiction Sensitivity, Regulatory Proximity, Compliance Gap Severity, Cross-Border Exposure</w:t>
            </w:r>
          </w:p>
        </w:tc>
        <w:tc>
          <w:tcPr>
            <w:tcW w:type="dxa" w:w="2960"/>
            <w:tcBorders>
              <w:top w:val="single" w:sz="4" w:color="CCCCCC" w:space="0"/>
              <w:left w:val="single" w:sz="4" w:color="CCCCCC" w:space="0"/>
              <w:bottom w:val="single" w:sz="4" w:color="CCCCCC" w:space="0"/>
              <w:right w:val="single" w:sz="4" w:color="CCCCCC" w:space="0"/>
            </w:tcBorders>
            <w:shd w:fill="FFFFFF" w:val="clear"/>
          </w:tcPr>
          <w:p w14:paraId="1C000015" w14:textId="2C000016" w:rsidR="00AA1D8D" w:rsidRDefault="00AA1D8D">
            <w:pPr>
              <w:spacing w:before="40" w:after="40"/>
            </w:pPr>
            <w:r>
              <w:rPr>
                <w:rFonts w:ascii="Arial" w:cs="Arial" w:hAnsi="Arial"/>
                <w:sz w:val="18"/>
                <w:szCs w:val="18"/>
              </w:rPr>
              <w:t>Verify sub-component decomposition and worked examples per jurisdiction</w:t>
            </w:r>
          </w:p>
        </w:tc>
      </w:tr>
      <w:tr>
        <w:tc>
          <w:tcPr>
            <w:tcW w:type="dxa" w:w="1800"/>
            <w:tcBorders>
              <w:top w:val="single" w:sz="4" w:color="CCCCCC" w:space="0"/>
              <w:left w:val="single" w:sz="4" w:color="CCCCCC" w:space="0"/>
              <w:bottom w:val="single" w:sz="4" w:color="CCCCCC" w:space="0"/>
              <w:right w:val="single" w:sz="4" w:color="CCCCCC" w:space="0"/>
            </w:tcBorders>
            <w:shd w:fill="F2F7FB" w:val="clear"/>
          </w:tcPr>
          <w:p w14:paraId="1C000017" w14:textId="2C000018" w:rsidR="00AA1D8D" w:rsidRDefault="00AA1D8D">
            <w:pPr>
              <w:spacing w:before="40" w:after="40"/>
            </w:pPr>
            <w:r>
              <w:rPr>
                <w:rFonts w:ascii="Arial" w:cs="Arial" w:hAnsi="Arial"/>
                <w:sz w:val="18"/>
                <w:szCs w:val="18"/>
              </w:rPr>
              <w:t>Sovereignty Action</w:t>
            </w:r>
          </w:p>
        </w:tc>
        <w:tc>
          <w:tcPr>
            <w:tcW w:type="dxa" w:w="4600"/>
            <w:tcBorders>
              <w:top w:val="single" w:sz="4" w:color="CCCCCC" w:space="0"/>
              <w:left w:val="single" w:sz="4" w:color="CCCCCC" w:space="0"/>
              <w:bottom w:val="single" w:sz="4" w:color="CCCCCC" w:space="0"/>
              <w:right w:val="single" w:sz="4" w:color="CCCCCC" w:space="0"/>
            </w:tcBorders>
            <w:shd w:fill="F2F7FB" w:val="clear"/>
          </w:tcPr>
          <w:p w14:paraId="1C000019" w14:textId="2C00001A" w:rsidR="00AA1D8D" w:rsidRDefault="00AA1D8D">
            <w:pPr>
              <w:spacing w:before="40" w:after="40"/>
            </w:pPr>
            <w:r>
              <w:rPr>
                <w:rFonts w:ascii="Arial" w:cs="Arial" w:hAnsi="Arial"/>
                <w:sz w:val="18"/>
                <w:szCs w:val="18"/>
              </w:rPr>
              <w:t>Data Residency Impact, Vendor Lock-In Exposure, Jurisdictional Control, Reversibility</w:t>
            </w:r>
          </w:p>
        </w:tc>
        <w:tc>
          <w:tcPr>
            <w:tcW w:type="dxa" w:w="2960"/>
            <w:tcBorders>
              <w:top w:val="single" w:sz="4" w:color="CCCCCC" w:space="0"/>
              <w:left w:val="single" w:sz="4" w:color="CCCCCC" w:space="0"/>
              <w:bottom w:val="single" w:sz="4" w:color="CCCCCC" w:space="0"/>
              <w:right w:val="single" w:sz="4" w:color="CCCCCC" w:space="0"/>
            </w:tcBorders>
            <w:shd w:fill="F2F7FB" w:val="clear"/>
          </w:tcPr>
          <w:p w14:paraId="1C00001B" w14:textId="2C00001C" w:rsidR="00AA1D8D" w:rsidRDefault="00AA1D8D">
            <w:pPr>
              <w:spacing w:before="40" w:after="40"/>
            </w:pPr>
            <w:r>
              <w:rPr>
                <w:rFonts w:ascii="Arial" w:cs="Arial" w:hAnsi="Arial"/>
                <w:sz w:val="18"/>
                <w:szCs w:val="18"/>
              </w:rPr>
              <w:t>Dimension added in v3.0; sub-components may need fuller development</w:t>
            </w:r>
          </w:p>
        </w:tc>
      </w:tr>
      <w:tr>
        <w:tc>
          <w:tcPr>
            <w:tcW w:type="dxa" w:w="1800"/>
            <w:tcBorders>
              <w:top w:val="single" w:sz="4" w:color="CCCCCC" w:space="0"/>
              <w:left w:val="single" w:sz="4" w:color="CCCCCC" w:space="0"/>
              <w:bottom w:val="single" w:sz="4" w:color="CCCCCC" w:space="0"/>
              <w:right w:val="single" w:sz="4" w:color="CCCCCC" w:space="0"/>
            </w:tcBorders>
            <w:shd w:fill="FFFFFF" w:val="clear"/>
          </w:tcPr>
          <w:p w14:paraId="1C00001D" w14:textId="2C00001E" w:rsidR="00AA1D8D" w:rsidRDefault="00AA1D8D">
            <w:pPr>
              <w:spacing w:before="40" w:after="40"/>
            </w:pPr>
            <w:r>
              <w:rPr>
                <w:rFonts w:ascii="Arial" w:cs="Arial" w:hAnsi="Arial"/>
                <w:sz w:val="18"/>
                <w:szCs w:val="18"/>
              </w:rPr>
              <w:t>Security Impact</w:t>
            </w:r>
          </w:p>
        </w:tc>
        <w:tc>
          <w:tcPr>
            <w:tcW w:type="dxa" w:w="4600"/>
            <w:tcBorders>
              <w:top w:val="single" w:sz="4" w:color="CCCCCC" w:space="0"/>
              <w:left w:val="single" w:sz="4" w:color="CCCCCC" w:space="0"/>
              <w:bottom w:val="single" w:sz="4" w:color="CCCCCC" w:space="0"/>
              <w:right w:val="single" w:sz="4" w:color="CCCCCC" w:space="0"/>
            </w:tcBorders>
            <w:shd w:fill="FFFFFF" w:val="clear"/>
          </w:tcPr>
          <w:p w14:paraId="1C00001F" w14:textId="2C000020" w:rsidR="00AA1D8D" w:rsidRDefault="00AA1D8D">
            <w:pPr>
              <w:spacing w:before="40" w:after="40"/>
            </w:pPr>
            <w:r>
              <w:rPr>
                <w:rFonts w:ascii="Arial" w:cs="Arial" w:hAnsi="Arial"/>
                <w:sz w:val="18"/>
                <w:szCs w:val="18"/>
              </w:rPr>
              <w:t>Attack Surface Change, Credential Exposure, Privilege Escalation Risk, Blast Radius</w:t>
            </w:r>
          </w:p>
        </w:tc>
        <w:tc>
          <w:tcPr>
            <w:tcW w:type="dxa" w:w="2960"/>
            <w:tcBorders>
              <w:top w:val="single" w:sz="4" w:color="CCCCCC" w:space="0"/>
              <w:left w:val="single" w:sz="4" w:color="CCCCCC" w:space="0"/>
              <w:bottom w:val="single" w:sz="4" w:color="CCCCCC" w:space="0"/>
              <w:right w:val="single" w:sz="4" w:color="CCCCCC" w:space="0"/>
            </w:tcBorders>
            <w:shd w:fill="FFFFFF" w:val="clear"/>
          </w:tcPr>
          <w:p w14:paraId="1C000021" w14:textId="2C000022" w:rsidR="00AA1D8D" w:rsidRDefault="00AA1D8D">
            <w:pPr>
              <w:spacing w:before="40" w:after="40"/>
            </w:pPr>
            <w:r>
              <w:rPr>
                <w:rFonts w:ascii="Arial" w:cs="Arial" w:hAnsi="Arial"/>
                <w:sz w:val="18"/>
                <w:szCs w:val="18"/>
              </w:rPr>
              <w:t>Split from original dimension; verify sub-components created for each</w:t>
            </w:r>
          </w:p>
        </w:tc>
      </w:tr>
      <w:tr>
        <w:tc>
          <w:tcPr>
            <w:tcW w:type="dxa" w:w="1800"/>
            <w:tcBorders>
              <w:top w:val="single" w:sz="4" w:color="CCCCCC" w:space="0"/>
              <w:left w:val="single" w:sz="4" w:color="CCCCCC" w:space="0"/>
              <w:bottom w:val="single" w:sz="4" w:color="CCCCCC" w:space="0"/>
              <w:right w:val="single" w:sz="4" w:color="CCCCCC" w:space="0"/>
            </w:tcBorders>
            <w:shd w:fill="F2F7FB" w:val="clear"/>
          </w:tcPr>
          <w:p w14:paraId="1C000023" w14:textId="2C000024" w:rsidR="00AA1D8D" w:rsidRDefault="00AA1D8D">
            <w:pPr>
              <w:spacing w:before="40" w:after="40"/>
            </w:pPr>
            <w:r>
              <w:rPr>
                <w:rFonts w:ascii="Arial" w:cs="Arial" w:hAnsi="Arial"/>
                <w:sz w:val="18"/>
                <w:szCs w:val="18"/>
              </w:rPr>
              <w:t>Reputational Risk</w:t>
            </w:r>
          </w:p>
        </w:tc>
        <w:tc>
          <w:tcPr>
            <w:tcW w:type="dxa" w:w="4600"/>
            <w:tcBorders>
              <w:top w:val="single" w:sz="4" w:color="CCCCCC" w:space="0"/>
              <w:left w:val="single" w:sz="4" w:color="CCCCCC" w:space="0"/>
              <w:bottom w:val="single" w:sz="4" w:color="CCCCCC" w:space="0"/>
              <w:right w:val="single" w:sz="4" w:color="CCCCCC" w:space="0"/>
            </w:tcBorders>
            <w:shd w:fill="F2F7FB" w:val="clear"/>
          </w:tcPr>
          <w:p w14:paraId="1C000025" w14:textId="2C000026" w:rsidR="00AA1D8D" w:rsidRDefault="00AA1D8D">
            <w:pPr>
              <w:spacing w:before="40" w:after="40"/>
            </w:pPr>
            <w:r>
              <w:rPr>
                <w:rFonts w:ascii="Arial" w:cs="Arial" w:hAnsi="Arial"/>
                <w:sz w:val="18"/>
                <w:szCs w:val="18"/>
              </w:rPr>
              <w:t>Public Visibility, Brand Alignment, Stakeholder Sensitivity, Recovery Difficulty</w:t>
            </w:r>
          </w:p>
        </w:tc>
        <w:tc>
          <w:tcPr>
            <w:tcW w:type="dxa" w:w="2960"/>
            <w:tcBorders>
              <w:top w:val="single" w:sz="4" w:color="CCCCCC" w:space="0"/>
              <w:left w:val="single" w:sz="4" w:color="CCCCCC" w:space="0"/>
              <w:bottom w:val="single" w:sz="4" w:color="CCCCCC" w:space="0"/>
              <w:right w:val="single" w:sz="4" w:color="CCCCCC" w:space="0"/>
            </w:tcBorders>
            <w:shd w:fill="F2F7FB" w:val="clear"/>
          </w:tcPr>
          <w:p w14:paraId="1C000027" w14:textId="2C000028" w:rsidR="00AA1D8D" w:rsidRDefault="00AA1D8D">
            <w:pPr>
              <w:spacing w:before="40" w:after="40"/>
            </w:pPr>
            <w:r>
              <w:rPr>
                <w:rFonts w:ascii="Arial" w:cs="Arial" w:hAnsi="Arial"/>
                <w:sz w:val="18"/>
                <w:szCs w:val="18"/>
              </w:rPr>
              <w:t>Verify sub-component structure and NetStreamX examples</w:t>
            </w:r>
          </w:p>
        </w:tc>
      </w:tr>
      <w:tr>
        <w:tc>
          <w:tcPr>
            <w:tcW w:type="dxa" w:w="1800"/>
            <w:tcBorders>
              <w:top w:val="single" w:sz="4" w:color="CCCCCC" w:space="0"/>
              <w:left w:val="single" w:sz="4" w:color="CCCCCC" w:space="0"/>
              <w:bottom w:val="single" w:sz="4" w:color="CCCCCC" w:space="0"/>
              <w:right w:val="single" w:sz="4" w:color="CCCCCC" w:space="0"/>
            </w:tcBorders>
            <w:shd w:fill="FFFFFF" w:val="clear"/>
          </w:tcPr>
          <w:p w14:paraId="1C000029" w14:textId="2C00002A" w:rsidR="00AA1D8D" w:rsidRDefault="00AA1D8D">
            <w:pPr>
              <w:spacing w:before="40" w:after="40"/>
            </w:pPr>
            <w:r>
              <w:rPr>
                <w:rFonts w:ascii="Arial" w:cs="Arial" w:hAnsi="Arial"/>
                <w:sz w:val="18"/>
                <w:szCs w:val="18"/>
              </w:rPr>
              <w:t>Rights Certainty</w:t>
            </w:r>
          </w:p>
        </w:tc>
        <w:tc>
          <w:tcPr>
            <w:tcW w:type="dxa" w:w="4600"/>
            <w:tcBorders>
              <w:top w:val="single" w:sz="4" w:color="CCCCCC" w:space="0"/>
              <w:left w:val="single" w:sz="4" w:color="CCCCCC" w:space="0"/>
              <w:bottom w:val="single" w:sz="4" w:color="CCCCCC" w:space="0"/>
              <w:right w:val="single" w:sz="4" w:color="CCCCCC" w:space="0"/>
            </w:tcBorders>
            <w:shd w:fill="FFFFFF" w:val="clear"/>
          </w:tcPr>
          <w:p w14:paraId="1C00002B" w14:textId="2C00002C" w:rsidR="00AA1D8D" w:rsidRDefault="00AA1D8D">
            <w:pPr>
              <w:spacing w:before="40" w:after="40"/>
            </w:pPr>
            <w:r>
              <w:rPr>
                <w:rFonts w:ascii="Arial" w:cs="Arial" w:hAnsi="Arial"/>
                <w:sz w:val="18"/>
                <w:szCs w:val="18"/>
              </w:rPr>
              <w:t>Entitlement Coverage, License Ambiguity, Territorial Scope, Attribution Completeness</w:t>
            </w:r>
          </w:p>
        </w:tc>
        <w:tc>
          <w:tcPr>
            <w:tcW w:type="dxa" w:w="2960"/>
            <w:tcBorders>
              <w:top w:val="single" w:sz="4" w:color="CCCCCC" w:space="0"/>
              <w:left w:val="single" w:sz="4" w:color="CCCCCC" w:space="0"/>
              <w:bottom w:val="single" w:sz="4" w:color="CCCCCC" w:space="0"/>
              <w:right w:val="single" w:sz="4" w:color="CCCCCC" w:space="0"/>
            </w:tcBorders>
            <w:shd w:fill="FFFFFF" w:val="clear"/>
          </w:tcPr>
          <w:p w14:paraId="1C00002D" w14:textId="2C00002E" w:rsidR="00AA1D8D" w:rsidRDefault="00AA1D8D">
            <w:pPr>
              <w:spacing w:before="40" w:after="40"/>
            </w:pPr>
            <w:r>
              <w:rPr>
                <w:rFonts w:ascii="Arial" w:cs="Arial" w:hAnsi="Arial"/>
                <w:sz w:val="18"/>
                <w:szCs w:val="18"/>
              </w:rPr>
              <w:t>Verify sub-components and threshold tables</w:t>
            </w:r>
          </w:p>
        </w:tc>
      </w:tr>
      <w:tr>
        <w:tc>
          <w:tcPr>
            <w:tcW w:type="dxa" w:w="1800"/>
            <w:tcBorders>
              <w:top w:val="single" w:sz="4" w:color="CCCCCC" w:space="0"/>
              <w:left w:val="single" w:sz="4" w:color="CCCCCC" w:space="0"/>
              <w:bottom w:val="single" w:sz="4" w:color="CCCCCC" w:space="0"/>
              <w:right w:val="single" w:sz="4" w:color="CCCCCC" w:space="0"/>
            </w:tcBorders>
            <w:shd w:fill="F2F7FB" w:val="clear"/>
          </w:tcPr>
          <w:p w14:paraId="1C00002F" w14:textId="2C000030" w:rsidR="00AA1D8D" w:rsidRDefault="00AA1D8D">
            <w:pPr>
              <w:spacing w:before="40" w:after="40"/>
            </w:pPr>
            <w:r>
              <w:rPr>
                <w:rFonts w:ascii="Arial" w:cs="Arial" w:hAnsi="Arial"/>
                <w:sz w:val="18"/>
                <w:szCs w:val="18"/>
              </w:rPr>
              <w:t>Doctrinal Alignment</w:t>
            </w:r>
          </w:p>
        </w:tc>
        <w:tc>
          <w:tcPr>
            <w:tcW w:type="dxa" w:w="4600"/>
            <w:tcBorders>
              <w:top w:val="single" w:sz="4" w:color="CCCCCC" w:space="0"/>
              <w:left w:val="single" w:sz="4" w:color="CCCCCC" w:space="0"/>
              <w:bottom w:val="single" w:sz="4" w:color="CCCCCC" w:space="0"/>
              <w:right w:val="single" w:sz="4" w:color="CCCCCC" w:space="0"/>
            </w:tcBorders>
            <w:shd w:fill="F2F7FB" w:val="clear"/>
          </w:tcPr>
          <w:p w14:paraId="1C000031" w14:textId="2C000032" w:rsidR="00AA1D8D" w:rsidRDefault="00AA1D8D">
            <w:pPr>
              <w:spacing w:before="40" w:after="40"/>
            </w:pPr>
            <w:r>
              <w:rPr>
                <w:rFonts w:ascii="Arial" w:cs="Arial" w:hAnsi="Arial"/>
                <w:sz w:val="18"/>
                <w:szCs w:val="18"/>
              </w:rPr>
              <w:t>Strategy Alignment, Cultural Fit, Precedent Consistency, Doctrine Version Currency</w:t>
            </w:r>
          </w:p>
        </w:tc>
        <w:tc>
          <w:tcPr>
            <w:tcW w:type="dxa" w:w="2960"/>
            <w:tcBorders>
              <w:top w:val="single" w:sz="4" w:color="CCCCCC" w:space="0"/>
              <w:left w:val="single" w:sz="4" w:color="CCCCCC" w:space="0"/>
              <w:bottom w:val="single" w:sz="4" w:color="CCCCCC" w:space="0"/>
              <w:right w:val="single" w:sz="4" w:color="CCCCCC" w:space="0"/>
            </w:tcBorders>
            <w:shd w:fill="F2F7FB" w:val="clear"/>
          </w:tcPr>
          <w:p w14:paraId="1C000033" w14:textId="2C000034" w:rsidR="00AA1D8D" w:rsidRDefault="00AA1D8D">
            <w:pPr>
              <w:spacing w:before="40" w:after="40"/>
            </w:pPr>
            <w:r>
              <w:rPr>
                <w:rFonts w:ascii="Arial" w:cs="Arial" w:hAnsi="Arial"/>
                <w:sz w:val="18"/>
                <w:szCs w:val="18"/>
              </w:rPr>
              <w:t>Sub-component structure may need creation for completeness</w:t>
            </w:r>
          </w:p>
        </w:tc>
      </w:tr>
    </w:tbl>
    <w:p w14:paraId="1C000035" w14:textId="2C000036" w:rsidR="00AA1D8D" w:rsidRDefault="00AA1D8D"/>
    <w:p w14:paraId="1C000037" w14:textId="2C000038" w:rsidR="00AA1D8D" w:rsidRDefault="00AA1D8D">
      <w:pPr>
        <w:spacing w:after="120" w:before="240"/>
      </w:pPr>
      <w:r>
        <w:rPr>
          <w:rFonts w:ascii="Arial" w:cs="Arial" w:eastAsia="Arial" w:hAnsi="Arial"/>
          <w:b/>
          <w:bCs/>
          <w:sz w:val="28"/>
          <w:szCs w:val="28"/>
        </w:rPr>
        <w:t>Restoration Approach</w:t>
      </w:r>
    </w:p>
    <w:p w14:paraId="1C000039" w14:textId="2C00003A" w:rsidR="00AA1D8D" w:rsidRDefault="00AA1D8D">
      <w:pPr>
        <w:spacing w:after="120" w:before="120"/>
      </w:pPr>
      <w:r>
        <w:rPr>
          <w:rFonts w:ascii="Arial" w:cs="Arial" w:eastAsia="Arial" w:hAnsi="Arial"/>
          <w:b/>
          <w:bCs/>
          <w:sz w:val="22"/>
          <w:szCs w:val="22"/>
        </w:rPr>
        <w:t>Rather than recreating Archive content that may be outdated, use the v3.2 Priority Tier system as the framework and ensure each dimension has:</w:t>
      </w:r>
    </w:p>
    <w:p w14:paraId="1C00003B" w14:textId="2C00003C" w:rsidR="00AA1D8D" w:rsidRDefault="00AA1D8D">
      <w:pPr>
        <w:spacing w:after="120" w:before="120"/>
      </w:pPr>
      <w:r>
        <w:rPr>
          <w:rFonts w:ascii="Arial" w:cs="Arial" w:eastAsia="Arial" w:hAnsi="Arial"/>
          <w:sz w:val="22"/>
          <w:szCs w:val="22"/>
        </w:rPr>
        <w:t>(1) Sub-component decomposition with individual score ranges summing to 100, (2) threshold tables defining score breakpoints, (3) penalty rules for boundary conditions, and (4) at least one worked NetStreamX example per dimension.</w:t>
      </w:r>
    </w:p>
    <w:p w14:paraId="1C00003D" w14:textId="2C00003E" w:rsidR="00AA1D8D" w:rsidRDefault="00AA1D8D">
      <w:pPr>
        <w:spacing w:after="120" w:before="120"/>
      </w:pPr>
      <w:r>
        <w:rPr>
          <w:rFonts w:ascii="Arial" w:cs="Arial" w:eastAsia="Arial" w:hAnsi="Arial"/>
          <w:sz w:val="22"/>
          <w:szCs w:val="22"/>
        </w:rPr>
        <w:t>The Priority Tier weighting system in v3.2 is superior to the old fixed-weight system. Sub-component formulas should slot under the existing tier structure, not replace it. Each sub-component contributes to its parent dimension’s 0–100 raw score, which is then weighted by the tier-assigned weight in the composite calculation.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08080"/>
        <w:sz w:val="16"/>
        <w:szCs w:val="16"/>
      </w:rPr>
      <w:t xml:space="preserve">Classification: Open Source | Jurisdiction: Global | Industry-Agnostic | Product-Agnostic</w:t>
    </w:r>
  </w:p>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pPr>
    <w:r>
      <w:rPr>
        <w:rFonts w:ascii="Arial" w:cs="Arial" w:eastAsia="Arial" w:hAnsi="Arial"/>
        <w:i/>
        <w:iCs/>
        <w:color w:val="1F4E79"/>
        <w:sz w:val="18"/>
        <w:szCs w:val="18"/>
      </w:rPr>
      <w:t xml:space="preserve">ADAM — BOSS Score Formulas</w:t>
    </w:r>
    <w:r>
      <w:rPr>
        <w:rFonts w:ascii="Arial" w:cs="Arial" w:eastAsia="Arial" w:hAnsi="Arial"/>
        <w:i/>
        <w:iCs/>
        <w:color w:val="808080"/>
        <w:sz w:val="18"/>
        <w:szCs w:val="18"/>
      </w:rPr>
      <w:t xml:space="preserve">	v3.2 | Priority Tier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2026-04-09T11:37:15.128Z</dcterms:created>
  <dcterms:modified xsi:type="dcterms:W3CDTF">2026-04-09T11:37:15.128Z</dcterms:modified>
</cp:coreProperties>
</file>

<file path=docProps/custom.xml><?xml version="1.0" encoding="utf-8"?>
<Properties xmlns="http://schemas.openxmlformats.org/officeDocument/2006/custom-properties" xmlns:vt="http://schemas.openxmlformats.org/officeDocument/2006/docPropsVTypes"/>
</file>