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E104E1">
      <w:pPr>
        <w:ind w:left="720" w:hanging="720"/>
        <w:jc w:val="center"/>
        <w:rPr>
          <w:b/>
          <w:sz w:val="40"/>
          <w:szCs w:val="40"/>
        </w:rPr>
      </w:pPr>
      <w:bookmarkStart w:id="0" w:name="_GoBack"/>
      <w:bookmarkEnd w:id="0"/>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E97603">
              <w:rPr>
                <w:noProof/>
                <w:webHidden/>
              </w:rPr>
              <w:t>2</w:t>
            </w:r>
            <w:r w:rsidR="006E214B">
              <w:rPr>
                <w:noProof/>
                <w:webHidden/>
              </w:rPr>
              <w:fldChar w:fldCharType="end"/>
            </w:r>
          </w:hyperlink>
        </w:p>
        <w:p w14:paraId="625BB5DE" w14:textId="64CC20DA" w:rsidR="006E214B" w:rsidRDefault="00B75703">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E97603">
              <w:rPr>
                <w:noProof/>
                <w:webHidden/>
              </w:rPr>
              <w:t>2</w:t>
            </w:r>
            <w:r w:rsidR="006E214B">
              <w:rPr>
                <w:noProof/>
                <w:webHidden/>
              </w:rPr>
              <w:fldChar w:fldCharType="end"/>
            </w:r>
          </w:hyperlink>
        </w:p>
        <w:p w14:paraId="735D0262" w14:textId="5E6B1276" w:rsidR="006E214B" w:rsidRDefault="00B75703">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E97603">
              <w:rPr>
                <w:noProof/>
                <w:webHidden/>
              </w:rPr>
              <w:t>3</w:t>
            </w:r>
            <w:r w:rsidR="006E214B">
              <w:rPr>
                <w:noProof/>
                <w:webHidden/>
              </w:rPr>
              <w:fldChar w:fldCharType="end"/>
            </w:r>
          </w:hyperlink>
        </w:p>
        <w:p w14:paraId="52315BDE" w14:textId="2A9B0EF8" w:rsidR="006E214B" w:rsidRDefault="00B75703">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E97603">
              <w:rPr>
                <w:noProof/>
                <w:webHidden/>
              </w:rPr>
              <w:t>3</w:t>
            </w:r>
            <w:r w:rsidR="006E214B">
              <w:rPr>
                <w:noProof/>
                <w:webHidden/>
              </w:rPr>
              <w:fldChar w:fldCharType="end"/>
            </w:r>
          </w:hyperlink>
        </w:p>
        <w:p w14:paraId="4A9E2DA3" w14:textId="6157D7EC" w:rsidR="006E214B" w:rsidRDefault="00B75703">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E97603">
              <w:rPr>
                <w:noProof/>
                <w:webHidden/>
              </w:rPr>
              <w:t>4</w:t>
            </w:r>
            <w:r w:rsidR="006E214B">
              <w:rPr>
                <w:noProof/>
                <w:webHidden/>
              </w:rPr>
              <w:fldChar w:fldCharType="end"/>
            </w:r>
          </w:hyperlink>
        </w:p>
        <w:p w14:paraId="3149A5D3" w14:textId="39603E91" w:rsidR="006E214B" w:rsidRDefault="00B75703">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E97603">
              <w:rPr>
                <w:noProof/>
                <w:webHidden/>
              </w:rPr>
              <w:t>4</w:t>
            </w:r>
            <w:r w:rsidR="006E214B">
              <w:rPr>
                <w:noProof/>
                <w:webHidden/>
              </w:rPr>
              <w:fldChar w:fldCharType="end"/>
            </w:r>
          </w:hyperlink>
        </w:p>
        <w:p w14:paraId="716B60CC" w14:textId="104AEFD8" w:rsidR="006E214B" w:rsidRDefault="00B75703">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E97603">
              <w:rPr>
                <w:noProof/>
                <w:webHidden/>
              </w:rPr>
              <w:t>5</w:t>
            </w:r>
            <w:r w:rsidR="006E214B">
              <w:rPr>
                <w:noProof/>
                <w:webHidden/>
              </w:rPr>
              <w:fldChar w:fldCharType="end"/>
            </w:r>
          </w:hyperlink>
        </w:p>
        <w:p w14:paraId="3F6D6773" w14:textId="2714C362" w:rsidR="006E214B" w:rsidRDefault="00B75703">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E97603">
              <w:rPr>
                <w:noProof/>
                <w:webHidden/>
              </w:rPr>
              <w:t>6</w:t>
            </w:r>
            <w:r w:rsidR="006E214B">
              <w:rPr>
                <w:noProof/>
                <w:webHidden/>
              </w:rPr>
              <w:fldChar w:fldCharType="end"/>
            </w:r>
          </w:hyperlink>
        </w:p>
        <w:p w14:paraId="63266BA2" w14:textId="6349793B" w:rsidR="006E214B" w:rsidRDefault="00B75703">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E97603">
              <w:rPr>
                <w:noProof/>
                <w:webHidden/>
              </w:rPr>
              <w:t>7</w:t>
            </w:r>
            <w:r w:rsidR="006E214B">
              <w:rPr>
                <w:noProof/>
                <w:webHidden/>
              </w:rPr>
              <w:fldChar w:fldCharType="end"/>
            </w:r>
          </w:hyperlink>
        </w:p>
        <w:p w14:paraId="53FC2348" w14:textId="47BDE811" w:rsidR="006E214B" w:rsidRDefault="00B75703">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E97603">
              <w:rPr>
                <w:noProof/>
                <w:webHidden/>
              </w:rPr>
              <w:t>7</w:t>
            </w:r>
            <w:r w:rsidR="006E214B">
              <w:rPr>
                <w:noProof/>
                <w:webHidden/>
              </w:rPr>
              <w:fldChar w:fldCharType="end"/>
            </w:r>
          </w:hyperlink>
        </w:p>
        <w:p w14:paraId="0AE25D8C" w14:textId="70DB50F7" w:rsidR="006E214B" w:rsidRDefault="00B75703">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E97603">
              <w:rPr>
                <w:noProof/>
                <w:webHidden/>
              </w:rPr>
              <w:t>7</w:t>
            </w:r>
            <w:r w:rsidR="006E214B">
              <w:rPr>
                <w:noProof/>
                <w:webHidden/>
              </w:rPr>
              <w:fldChar w:fldCharType="end"/>
            </w:r>
          </w:hyperlink>
        </w:p>
        <w:p w14:paraId="292B75EA" w14:textId="04F7351B" w:rsidR="006E214B" w:rsidRDefault="00B75703">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E97603">
              <w:rPr>
                <w:noProof/>
                <w:webHidden/>
              </w:rPr>
              <w:t>8</w:t>
            </w:r>
            <w:r w:rsidR="006E214B">
              <w:rPr>
                <w:noProof/>
                <w:webHidden/>
              </w:rPr>
              <w:fldChar w:fldCharType="end"/>
            </w:r>
          </w:hyperlink>
        </w:p>
        <w:p w14:paraId="03575260" w14:textId="22AFEC8C" w:rsidR="006E214B" w:rsidRDefault="00B75703">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E97603">
              <w:rPr>
                <w:noProof/>
                <w:webHidden/>
              </w:rPr>
              <w:t>8</w:t>
            </w:r>
            <w:r w:rsidR="006E214B">
              <w:rPr>
                <w:noProof/>
                <w:webHidden/>
              </w:rPr>
              <w:fldChar w:fldCharType="end"/>
            </w:r>
          </w:hyperlink>
        </w:p>
        <w:p w14:paraId="47FFE179" w14:textId="538084CE" w:rsidR="006E214B" w:rsidRDefault="00B75703">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E97603">
              <w:rPr>
                <w:noProof/>
                <w:webHidden/>
              </w:rPr>
              <w:t>8</w:t>
            </w:r>
            <w:r w:rsidR="006E214B">
              <w:rPr>
                <w:noProof/>
                <w:webHidden/>
              </w:rPr>
              <w:fldChar w:fldCharType="end"/>
            </w:r>
          </w:hyperlink>
        </w:p>
        <w:p w14:paraId="3E79CC6D" w14:textId="6E6C4824" w:rsidR="006E214B" w:rsidRDefault="00B75703">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E97603">
              <w:rPr>
                <w:noProof/>
                <w:webHidden/>
              </w:rPr>
              <w:t>9</w:t>
            </w:r>
            <w:r w:rsidR="006E214B">
              <w:rPr>
                <w:noProof/>
                <w:webHidden/>
              </w:rPr>
              <w:fldChar w:fldCharType="end"/>
            </w:r>
          </w:hyperlink>
        </w:p>
        <w:p w14:paraId="61A459E5" w14:textId="7594E1F9" w:rsidR="006E214B" w:rsidRDefault="00B75703">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E97603">
              <w:rPr>
                <w:noProof/>
                <w:webHidden/>
              </w:rPr>
              <w:t>9</w:t>
            </w:r>
            <w:r w:rsidR="006E214B">
              <w:rPr>
                <w:noProof/>
                <w:webHidden/>
              </w:rPr>
              <w:fldChar w:fldCharType="end"/>
            </w:r>
          </w:hyperlink>
        </w:p>
        <w:p w14:paraId="7919A065" w14:textId="09B041F9" w:rsidR="006E214B" w:rsidRDefault="00B75703">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E97603">
              <w:rPr>
                <w:noProof/>
                <w:webHidden/>
              </w:rPr>
              <w:t>9</w:t>
            </w:r>
            <w:r w:rsidR="006E214B">
              <w:rPr>
                <w:noProof/>
                <w:webHidden/>
              </w:rPr>
              <w:fldChar w:fldCharType="end"/>
            </w:r>
          </w:hyperlink>
        </w:p>
        <w:p w14:paraId="672B4CB5" w14:textId="2BD013E7" w:rsidR="006E214B" w:rsidRDefault="00B75703">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E97603">
              <w:rPr>
                <w:noProof/>
                <w:webHidden/>
              </w:rPr>
              <w:t>10</w:t>
            </w:r>
            <w:r w:rsidR="006E214B">
              <w:rPr>
                <w:noProof/>
                <w:webHidden/>
              </w:rPr>
              <w:fldChar w:fldCharType="end"/>
            </w:r>
          </w:hyperlink>
        </w:p>
        <w:p w14:paraId="032AAC13" w14:textId="3974F4AC" w:rsidR="006E214B" w:rsidRDefault="00B75703">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E97603">
              <w:rPr>
                <w:noProof/>
                <w:webHidden/>
              </w:rPr>
              <w:t>11</w:t>
            </w:r>
            <w:r w:rsidR="006E214B">
              <w:rPr>
                <w:noProof/>
                <w:webHidden/>
              </w:rPr>
              <w:fldChar w:fldCharType="end"/>
            </w:r>
          </w:hyperlink>
        </w:p>
        <w:p w14:paraId="17181318" w14:textId="4FD3D3F5" w:rsidR="006E214B" w:rsidRDefault="00B75703">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E97603">
              <w:rPr>
                <w:noProof/>
                <w:webHidden/>
              </w:rPr>
              <w:t>14</w:t>
            </w:r>
            <w:r w:rsidR="006E214B">
              <w:rPr>
                <w:noProof/>
                <w:webHidden/>
              </w:rPr>
              <w:fldChar w:fldCharType="end"/>
            </w:r>
          </w:hyperlink>
        </w:p>
        <w:p w14:paraId="11A1506C" w14:textId="5CF3107C" w:rsidR="006E214B" w:rsidRDefault="00B75703">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E97603">
              <w:rPr>
                <w:noProof/>
                <w:webHidden/>
              </w:rPr>
              <w:t>14</w:t>
            </w:r>
            <w:r w:rsidR="006E214B">
              <w:rPr>
                <w:noProof/>
                <w:webHidden/>
              </w:rPr>
              <w:fldChar w:fldCharType="end"/>
            </w:r>
          </w:hyperlink>
        </w:p>
        <w:p w14:paraId="7496FB66" w14:textId="16C10BB5" w:rsidR="006E214B" w:rsidRDefault="00B75703">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E97603">
              <w:rPr>
                <w:noProof/>
                <w:webHidden/>
              </w:rPr>
              <w:t>15</w:t>
            </w:r>
            <w:r w:rsidR="006E214B">
              <w:rPr>
                <w:noProof/>
                <w:webHidden/>
              </w:rPr>
              <w:fldChar w:fldCharType="end"/>
            </w:r>
          </w:hyperlink>
        </w:p>
        <w:p w14:paraId="5F3772C9" w14:textId="44C7498C" w:rsidR="006E214B" w:rsidRDefault="00B75703">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E97603">
              <w:rPr>
                <w:noProof/>
                <w:webHidden/>
              </w:rPr>
              <w:t>16</w:t>
            </w:r>
            <w:r w:rsidR="006E214B">
              <w:rPr>
                <w:noProof/>
                <w:webHidden/>
              </w:rPr>
              <w:fldChar w:fldCharType="end"/>
            </w:r>
          </w:hyperlink>
        </w:p>
        <w:p w14:paraId="6D3B773D" w14:textId="74F91556" w:rsidR="006E214B" w:rsidRDefault="00B75703">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E97603">
              <w:rPr>
                <w:noProof/>
                <w:webHidden/>
              </w:rPr>
              <w:t>17</w:t>
            </w:r>
            <w:r w:rsidR="006E214B">
              <w:rPr>
                <w:noProof/>
                <w:webHidden/>
              </w:rPr>
              <w:fldChar w:fldCharType="end"/>
            </w:r>
          </w:hyperlink>
        </w:p>
        <w:p w14:paraId="1D5A406B" w14:textId="16F646AD" w:rsidR="006E214B" w:rsidRDefault="00B75703">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E97603">
              <w:rPr>
                <w:noProof/>
                <w:webHidden/>
              </w:rPr>
              <w:t>17</w:t>
            </w:r>
            <w:r w:rsidR="006E214B">
              <w:rPr>
                <w:noProof/>
                <w:webHidden/>
              </w:rPr>
              <w:fldChar w:fldCharType="end"/>
            </w:r>
          </w:hyperlink>
        </w:p>
        <w:p w14:paraId="2A661A05" w14:textId="06205F49" w:rsidR="006E214B" w:rsidRDefault="00B75703">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E97603">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1" w:name="_Toc71713659"/>
      <w:r>
        <w:rPr>
          <w:b/>
          <w:color w:val="000000"/>
        </w:rPr>
        <w:t>Abstract</w:t>
      </w:r>
      <w:bookmarkEnd w:id="1"/>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2" w:name="_Toc71713660"/>
      <w:r>
        <w:rPr>
          <w:b/>
          <w:color w:val="000000"/>
        </w:rPr>
        <w:t>Ontologies used</w:t>
      </w:r>
      <w:bookmarkEnd w:id="2"/>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B75703">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B75703">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B75703"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B75703">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B75703">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B75703">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B75703">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B75703">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B75703">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B75703">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B75703">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B75703">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B75703">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B75703">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B75703">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B75703">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B75703">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B75703">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B75703">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B75703">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B75703">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B75703">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B75703">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B75703">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B75703">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B75703">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B75703"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3" w:name="_Toc71713661"/>
      <w:r>
        <w:rPr>
          <w:b/>
          <w:color w:val="000000"/>
        </w:rPr>
        <w:t>Concepts modelled.</w:t>
      </w:r>
      <w:bookmarkEnd w:id="3"/>
    </w:p>
    <w:p w14:paraId="331E161C" w14:textId="77777777" w:rsidR="00D04AB5" w:rsidRDefault="007E172C">
      <w:pPr>
        <w:pStyle w:val="Ttulo3"/>
        <w:numPr>
          <w:ilvl w:val="1"/>
          <w:numId w:val="1"/>
        </w:numPr>
        <w:rPr>
          <w:color w:val="000000"/>
        </w:rPr>
      </w:pPr>
      <w:bookmarkStart w:id="4" w:name="_Toc71713662"/>
      <w:proofErr w:type="gramStart"/>
      <w:r>
        <w:rPr>
          <w:color w:val="000000"/>
        </w:rPr>
        <w:t>vivo:</w:t>
      </w:r>
      <w:proofErr w:type="gramEnd"/>
      <w:r>
        <w:rPr>
          <w:color w:val="000000"/>
        </w:rPr>
        <w:t>AcademicDegree</w:t>
      </w:r>
      <w:bookmarkEnd w:id="4"/>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5" w:name="_Toc71713663"/>
      <w:proofErr w:type="gramStart"/>
      <w:r>
        <w:rPr>
          <w:color w:val="000000"/>
        </w:rPr>
        <w:t>roh:</w:t>
      </w:r>
      <w:proofErr w:type="gramEnd"/>
      <w:r>
        <w:rPr>
          <w:color w:val="000000"/>
        </w:rPr>
        <w:t>Accreditation</w:t>
      </w:r>
      <w:bookmarkEnd w:id="5"/>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r>
              <w:rPr>
                <w:color w:val="000000"/>
                <w:sz w:val="11"/>
                <w:szCs w:val="11"/>
              </w:rPr>
              <w:t>hasGoverningActivity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6" w:name="_Toc71713664"/>
      <w:proofErr w:type="gramStart"/>
      <w:r>
        <w:rPr>
          <w:color w:val="000000"/>
        </w:rPr>
        <w:t>roh:</w:t>
      </w:r>
      <w:proofErr w:type="gramEnd"/>
      <w:r>
        <w:rPr>
          <w:color w:val="000000"/>
        </w:rPr>
        <w:t>Activity</w:t>
      </w:r>
      <w:bookmarkEnd w:id="6"/>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7" w:name="_heading=h.3dy6vkm" w:colFirst="0" w:colLast="0"/>
            <w:bookmarkEnd w:id="7"/>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8" w:name="_heading=h.1t3h5sf" w:colFirst="0" w:colLast="0"/>
            <w:bookmarkEnd w:id="8"/>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9" w:name="_Toc71713665"/>
      <w:proofErr w:type="gramStart"/>
      <w:r>
        <w:rPr>
          <w:color w:val="000000"/>
        </w:rPr>
        <w:t>foaf:</w:t>
      </w:r>
      <w:proofErr w:type="gramEnd"/>
      <w:r>
        <w:rPr>
          <w:color w:val="000000"/>
        </w:rPr>
        <w:t>Agent</w:t>
      </w:r>
      <w:bookmarkEnd w:id="9"/>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Start w:id="11" w:name="_Hlk71713741"/>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2" w:name="_heading=h.17dp8vu" w:colFirst="0" w:colLast="0"/>
            <w:bookmarkEnd w:id="12"/>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1"/>
    </w:tbl>
    <w:p w14:paraId="2C35C687" w14:textId="77777777" w:rsidR="00D04AB5" w:rsidRDefault="00D04AB5"/>
    <w:p w14:paraId="260DE417" w14:textId="77777777" w:rsidR="00D04AB5" w:rsidRDefault="007E172C">
      <w:pPr>
        <w:pStyle w:val="Ttulo3"/>
        <w:numPr>
          <w:ilvl w:val="1"/>
          <w:numId w:val="1"/>
        </w:numPr>
        <w:rPr>
          <w:color w:val="000000"/>
        </w:rPr>
      </w:pPr>
      <w:bookmarkStart w:id="13" w:name="_Toc71713666"/>
      <w:proofErr w:type="gramStart"/>
      <w:r>
        <w:rPr>
          <w:color w:val="000000"/>
        </w:rPr>
        <w:t>skos:</w:t>
      </w:r>
      <w:proofErr w:type="gramEnd"/>
      <w:r>
        <w:rPr>
          <w:color w:val="000000"/>
        </w:rPr>
        <w:t>Concept &amp; skos:ConceptScheme</w:t>
      </w:r>
      <w:bookmarkEnd w:id="13"/>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4" w:name="_Toc71713667"/>
      <w:proofErr w:type="gramStart"/>
      <w:r>
        <w:rPr>
          <w:color w:val="000000"/>
        </w:rPr>
        <w:t>roh:</w:t>
      </w:r>
      <w:proofErr w:type="gramEnd"/>
      <w:r>
        <w:rPr>
          <w:color w:val="000000"/>
        </w:rPr>
        <w:t>CurriculumVitae</w:t>
      </w:r>
      <w:bookmarkEnd w:id="14"/>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5" w:name="_Toc71713668"/>
      <w:proofErr w:type="gramStart"/>
      <w:r>
        <w:rPr>
          <w:color w:val="000000"/>
        </w:rPr>
        <w:t>roh:</w:t>
      </w:r>
      <w:proofErr w:type="gramEnd"/>
      <w:r>
        <w:rPr>
          <w:color w:val="000000"/>
        </w:rPr>
        <w:t>Expense</w:t>
      </w:r>
      <w:bookmarkEnd w:id="15"/>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6" w:name="_Toc71713669"/>
      <w:proofErr w:type="gramStart"/>
      <w:r>
        <w:rPr>
          <w:color w:val="000000"/>
        </w:rPr>
        <w:t>gn:</w:t>
      </w:r>
      <w:proofErr w:type="gramEnd"/>
      <w:r>
        <w:rPr>
          <w:color w:val="000000"/>
        </w:rPr>
        <w:t>Feature</w:t>
      </w:r>
      <w:bookmarkEnd w:id="16"/>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7" w:name="_Toc71713670"/>
      <w:proofErr w:type="gramStart"/>
      <w:r>
        <w:rPr>
          <w:color w:val="000000"/>
        </w:rPr>
        <w:lastRenderedPageBreak/>
        <w:t>roh:</w:t>
      </w:r>
      <w:proofErr w:type="gramEnd"/>
      <w:r>
        <w:rPr>
          <w:color w:val="000000"/>
        </w:rPr>
        <w:t>Funding, roh:FundingAmount, roh:FundingProgram &amp; roh:FundingSource</w:t>
      </w:r>
      <w:bookmarkEnd w:id="17"/>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8" w:name="_heading=h.44sinio" w:colFirst="0" w:colLast="0"/>
            <w:bookmarkEnd w:id="18"/>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9" w:name="_heading=h.2jxsxqh" w:colFirst="0" w:colLast="0"/>
            <w:bookmarkEnd w:id="19"/>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20" w:name="_Toc71713671"/>
      <w:proofErr w:type="gramStart"/>
      <w:r>
        <w:rPr>
          <w:color w:val="000000"/>
        </w:rPr>
        <w:t>vcard:</w:t>
      </w:r>
      <w:proofErr w:type="gramEnd"/>
      <w:r>
        <w:rPr>
          <w:color w:val="000000"/>
        </w:rPr>
        <w:t>Kind</w:t>
      </w:r>
      <w:bookmarkEnd w:id="20"/>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1" w:name="_Toc71713672"/>
      <w:proofErr w:type="gramStart"/>
      <w:r>
        <w:rPr>
          <w:color w:val="000000"/>
        </w:rPr>
        <w:t>roh:</w:t>
      </w:r>
      <w:proofErr w:type="gramEnd"/>
      <w:r>
        <w:rPr>
          <w:color w:val="000000"/>
        </w:rPr>
        <w:t>Invention</w:t>
      </w:r>
      <w:bookmarkEnd w:id="21"/>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2" w:name="_Toc71713673"/>
      <w:proofErr w:type="gramStart"/>
      <w:r>
        <w:rPr>
          <w:color w:val="000000"/>
        </w:rPr>
        <w:t>roh:</w:t>
      </w:r>
      <w:proofErr w:type="gramEnd"/>
      <w:r>
        <w:rPr>
          <w:color w:val="000000"/>
        </w:rPr>
        <w:t>Metric</w:t>
      </w:r>
      <w:bookmarkEnd w:id="22"/>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3" w:name="_Toc71713674"/>
      <w:proofErr w:type="gramStart"/>
      <w:r>
        <w:rPr>
          <w:color w:val="000000"/>
        </w:rPr>
        <w:t>roh:</w:t>
      </w:r>
      <w:proofErr w:type="gramEnd"/>
      <w:r>
        <w:rPr>
          <w:color w:val="000000"/>
        </w:rPr>
        <w:t>Product</w:t>
      </w:r>
      <w:bookmarkEnd w:id="23"/>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4" w:name="_Toc71713675"/>
      <w:proofErr w:type="gramStart"/>
      <w:r>
        <w:rPr>
          <w:color w:val="000000"/>
        </w:rPr>
        <w:t>vivo:</w:t>
      </w:r>
      <w:proofErr w:type="gramEnd"/>
      <w:r>
        <w:rPr>
          <w:color w:val="000000"/>
        </w:rPr>
        <w:t>Project</w:t>
      </w:r>
      <w:bookmarkEnd w:id="24"/>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5" w:name="_heading=h.1ci93xb" w:colFirst="0" w:colLast="0"/>
            <w:bookmarkEnd w:id="25"/>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6" w:name="_Toc71713676"/>
      <w:proofErr w:type="gramStart"/>
      <w:r>
        <w:rPr>
          <w:color w:val="000000"/>
        </w:rPr>
        <w:t>vivo:</w:t>
      </w:r>
      <w:proofErr w:type="gramEnd"/>
      <w:r>
        <w:rPr>
          <w:color w:val="000000"/>
        </w:rPr>
        <w:t>Relationship</w:t>
      </w:r>
      <w:bookmarkEnd w:id="26"/>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7" w:name="_Toc71713677"/>
      <w:proofErr w:type="gramStart"/>
      <w:r>
        <w:rPr>
          <w:color w:val="000000"/>
        </w:rPr>
        <w:t>roh:</w:t>
      </w:r>
      <w:proofErr w:type="gramEnd"/>
      <w:r>
        <w:rPr>
          <w:color w:val="000000"/>
        </w:rPr>
        <w:t>Research</w:t>
      </w:r>
      <w:r w:rsidR="00F20F7D">
        <w:rPr>
          <w:color w:val="000000"/>
        </w:rPr>
        <w:t>Result</w:t>
      </w:r>
      <w:bookmarkEnd w:id="27"/>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8" w:name="_heading=h.qsh70q" w:colFirst="0" w:colLast="0"/>
      <w:bookmarkEnd w:id="28"/>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proofErr w:type="gramStart"/>
      <w:r>
        <w:rPr>
          <w:color w:val="000000"/>
        </w:rPr>
        <w:t>roh:</w:t>
      </w:r>
      <w:proofErr w:type="gramEnd"/>
      <w:r>
        <w:rPr>
          <w:color w:val="000000"/>
        </w:rPr>
        <w:t>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proofErr w:type="gramStart"/>
      <w:r>
        <w:rPr>
          <w:color w:val="000000"/>
        </w:rPr>
        <w:t>obo-bfo:</w:t>
      </w:r>
      <w:proofErr w:type="gramEnd"/>
      <w:r>
        <w:rPr>
          <w:color w:val="000000"/>
        </w:rPr>
        <w:t>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proofErr w:type="gramStart"/>
      <w:r>
        <w:rPr>
          <w:color w:val="000000"/>
        </w:rPr>
        <w:t>obo-ero:</w:t>
      </w:r>
      <w:proofErr w:type="gramEnd"/>
      <w:r>
        <w:rPr>
          <w:color w:val="000000"/>
        </w:rPr>
        <w:t>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proofErr w:type="gramStart"/>
      <w:r>
        <w:rPr>
          <w:color w:val="000000"/>
        </w:rPr>
        <w:t>roh:</w:t>
      </w:r>
      <w:proofErr w:type="gramEnd"/>
      <w:r>
        <w:rPr>
          <w:color w:val="000000"/>
        </w:rPr>
        <w:t>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proofErr w:type="gramStart"/>
      <w:r>
        <w:rPr>
          <w:color w:val="000000"/>
        </w:rPr>
        <w:t>roh</w:t>
      </w:r>
      <w:proofErr w:type="gramEnd"/>
      <w:r>
        <w:rPr>
          <w:color w:val="000000"/>
        </w:rPr>
        <w:t xml:space="preserve">: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proofErr w:type="gramStart"/>
      <w:r>
        <w:t>o</w:t>
      </w:r>
      <w:r w:rsidRPr="0051580A">
        <w:t>bo-ero:</w:t>
      </w:r>
      <w:proofErr w:type="gramEnd"/>
      <w:r w:rsidRPr="0051580A">
        <w:t>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FACBC" w14:textId="77777777" w:rsidR="00B75703" w:rsidRDefault="00B75703">
      <w:pPr>
        <w:spacing w:after="0" w:line="240" w:lineRule="auto"/>
      </w:pPr>
      <w:r>
        <w:separator/>
      </w:r>
    </w:p>
  </w:endnote>
  <w:endnote w:type="continuationSeparator" w:id="0">
    <w:p w14:paraId="2BDBF66A" w14:textId="77777777" w:rsidR="00B75703" w:rsidRDefault="00B75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97603">
      <w:rPr>
        <w:noProof/>
        <w:color w:val="000000"/>
      </w:rPr>
      <w:t>1</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23580" w14:textId="77777777" w:rsidR="00B75703" w:rsidRDefault="00B75703">
      <w:pPr>
        <w:spacing w:after="0" w:line="240" w:lineRule="auto"/>
      </w:pPr>
      <w:r>
        <w:separator/>
      </w:r>
    </w:p>
  </w:footnote>
  <w:footnote w:type="continuationSeparator" w:id="0">
    <w:p w14:paraId="6B5B30AF" w14:textId="77777777" w:rsidR="00B75703" w:rsidRDefault="00B75703">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111E49"/>
    <w:rsid w:val="002C7A8B"/>
    <w:rsid w:val="00341175"/>
    <w:rsid w:val="004410E9"/>
    <w:rsid w:val="0045274B"/>
    <w:rsid w:val="004C531C"/>
    <w:rsid w:val="00577E87"/>
    <w:rsid w:val="005A3099"/>
    <w:rsid w:val="005B0AB3"/>
    <w:rsid w:val="005E4BA1"/>
    <w:rsid w:val="006E214B"/>
    <w:rsid w:val="00704D29"/>
    <w:rsid w:val="00762137"/>
    <w:rsid w:val="007875CD"/>
    <w:rsid w:val="007C03CC"/>
    <w:rsid w:val="007E172C"/>
    <w:rsid w:val="0086261F"/>
    <w:rsid w:val="0091259C"/>
    <w:rsid w:val="00917A3E"/>
    <w:rsid w:val="00936429"/>
    <w:rsid w:val="00995670"/>
    <w:rsid w:val="00A0235F"/>
    <w:rsid w:val="00A423B0"/>
    <w:rsid w:val="00B27245"/>
    <w:rsid w:val="00B75703"/>
    <w:rsid w:val="00C411AC"/>
    <w:rsid w:val="00C74036"/>
    <w:rsid w:val="00CF4D6C"/>
    <w:rsid w:val="00D01557"/>
    <w:rsid w:val="00D04AB5"/>
    <w:rsid w:val="00D471A7"/>
    <w:rsid w:val="00D77D58"/>
    <w:rsid w:val="00E104E1"/>
    <w:rsid w:val="00E80123"/>
    <w:rsid w:val="00E97603"/>
    <w:rsid w:val="00EE3A16"/>
    <w:rsid w:val="00EE65E2"/>
    <w:rsid w:val="00F04189"/>
    <w:rsid w:val="00F20F7D"/>
    <w:rsid w:val="00F84A0F"/>
    <w:rsid w:val="00FB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8A395F-411C-4D01-AC94-24010CDD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5967</Words>
  <Characters>32820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33</cp:revision>
  <cp:lastPrinted>2021-05-31T06:50:00Z</cp:lastPrinted>
  <dcterms:created xsi:type="dcterms:W3CDTF">2021-03-15T11:07:00Z</dcterms:created>
  <dcterms:modified xsi:type="dcterms:W3CDTF">2021-05-31T06:50:00Z</dcterms:modified>
</cp:coreProperties>
</file>