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短期效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1.旅游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大量增加。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大幅度增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旅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游业的外汇收人和创造了无限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机。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大幅增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就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业机会。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4.极大地提升奥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运举办地和举办国的国际形象和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知名度。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二、奥运会的长期旅游效应分析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（一）完善举办城市的市政建设、基础设施、城市旅游设施和自然环境，为旅游业的大发展提供硬件设施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（二）提高旅游企业的服务质量和经营水平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（三）带动旅游支持系统的完善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（四）促进旅游产品系列升级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我们也可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从历届奥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得到一些启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示获得一些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运申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办的成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供了千载难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逢的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二正确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处理直接效应和间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接效应短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应和长期效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应的关系进一步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奥运效应使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之深化和延伸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成为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长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期效应。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旅游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事件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强的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时效性。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它所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形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期高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效应为旅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游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打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其三 要谨防“奥运泡 沫”需的增长速度大于供给的增长速度，就会产生通货膨胀。 特别是亚洲的几个国家曾经举办的时候，汉城、 东京都曾经有过这样的情况，所以要有这个思想准备， 采取各种因素来加以防止和避免这个因素。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其四，奥运申办成功，相关行业绝不是天然受益，必须采取有效奥运营销战略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GFX_CNK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iYjRiZGI1Y2UyZTRhNGU3YzYzNDkzMmZjYTJjOTgifQ=="/>
  </w:docVars>
  <w:rsids>
    <w:rsidRoot w:val="2D61374B"/>
    <w:rsid w:val="2D61374B"/>
    <w:rsid w:val="6B6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456</Characters>
  <Lines>0</Lines>
  <Paragraphs>0</Paragraphs>
  <TotalTime>26</TotalTime>
  <ScaleCrop>false</ScaleCrop>
  <LinksUpToDate>false</LinksUpToDate>
  <CharactersWithSpaces>461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2023-04-01T06:43:00Z</dcterms:created>
  <dc:creator>86191</dc:creator>
  <cp:lastModifiedBy>86191</cp:lastModifiedBy>
  <dcterms:modified xsi:type="dcterms:W3CDTF">2023-04-01T07:10:04Z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0FEE9CE66BDA4AF78D2BB8557F756D68_13</vt:lpwstr>
  </property>
</Properties>
</file>