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差旅与费用报销管理制度</w:t>
      </w:r>
    </w:p>
    <w:p>
      <w:pPr>
        <w:widowControl/>
      </w:pPr>
      <w:r>
        <w:t>星海科技有限公司</w:t>
      </w:r>
    </w:p>
    <w:p>
      <w:pPr>
        <w:widowControl/>
      </w:pPr>
      <w:r>
        <w:t>归口部门：人力资源部财务支持组；入库范围：公司公共；可见范围：本公司已授权员工。</w:t>
      </w:r>
    </w:p>
    <w:p>
      <w:pPr>
        <w:pStyle w:val="Heading1"/>
        <w:widowControl/>
      </w:pPr>
      <w:r>
        <w:t>文档信息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384"/>
        <w:gridCol w:w="1440"/>
        <w:gridCol w:w="3384"/>
      </w:tblGrid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文档编号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XH-FIN-2026-03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1.4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归口部门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人力资源部财务支持组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批准角色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总经理办公会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生效日期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2026年7月1日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复审日期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 w:val="0"/>
                <w:color w:val="000000"/>
                <w:sz w:val="20"/>
              </w:rPr>
              <w:t>2027年6月30日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适用范围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公司全体员工及经授权的外部协作人员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F3F6F8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/>
                <w:color w:val="000000"/>
                <w:sz w:val="20"/>
              </w:rPr>
              <w:t>密级</w:t>
            </w:r>
          </w:p>
        </w:tc>
        <w:tc>
          <w:tcPr>
            <w:tcW w:type="dxa" w:w="33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内部使用</w:t>
            </w:r>
          </w:p>
        </w:tc>
      </w:tr>
    </w:tbl>
    <w:p>
      <w:pPr>
        <w:spacing w:after="20"/>
      </w:pPr>
    </w:p>
    <w:p>
      <w:pPr>
        <w:pStyle w:val="Heading1"/>
        <w:widowControl/>
      </w:pPr>
      <w:r>
        <w:t>适用说明</w:t>
      </w:r>
    </w:p>
    <w:p>
      <w:pPr>
        <w:widowControl/>
      </w:pPr>
      <w:r>
        <w:t>本制度用于控制差旅、招待、采购垫付及日常业务费用。所有费用必须具有真实业务目的、完成必要审批并取得合规凭证。超过标准的部分不会因经理口头同意而自动报销。</w:t>
      </w:r>
    </w:p>
    <w:p>
      <w:pPr>
        <w:pStyle w:val="Heading1"/>
        <w:widowControl/>
      </w:pPr>
      <w:r>
        <w:t>差旅申请</w:t>
      </w:r>
    </w:p>
    <w:p>
      <w:pPr>
        <w:widowControl/>
      </w:pPr>
      <w:r>
        <w:t>员工应在出发前提交差旅申请，说明目的、地点、日期、同行人员、预计费用和客户或项目编号。预计总额超过3000元的国内差旅由部门负责人审批；任何境外差旅还需财务负责人和总经理审批。紧急出差可以先获书面即时消息批准，并在返程后2个工作日内补录。</w:t>
      </w:r>
    </w:p>
    <w:p>
      <w:pPr>
        <w:pStyle w:val="Heading1"/>
        <w:widowControl/>
      </w:pPr>
      <w:r>
        <w:t>交通与住宿标准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2880"/>
        <w:gridCol w:w="2304"/>
        <w:gridCol w:w="2880"/>
      </w:tblGrid>
      <w:tr>
        <w:trPr>
          <w:cantSplit/>
          <w:tblHeader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普通员工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部门负责人及以上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飞机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经济舱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经济舱；飞行超过6小时可申请高端经济舱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原则上提前7日预订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高铁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二等座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一等座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同城短途优先公共交通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A类城市住宿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每晚不超过650元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每晚不超过850元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北京、上海、深圳、广州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B类城市住宿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每晚不超过500元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每晚不超过650元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省会及计划单列市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其他城市住宿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每晚不超过380元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每晚不超过500元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含税费后的单间价格</w:t>
            </w:r>
          </w:p>
        </w:tc>
      </w:tr>
    </w:tbl>
    <w:p>
      <w:pPr>
        <w:spacing w:after="20"/>
      </w:pPr>
    </w:p>
    <w:p>
      <w:pPr>
        <w:widowControl/>
      </w:pPr>
      <w:r>
        <w:t>大型展会、极端天气或客户指定酒店导致超标时，员工应在预订前提交价格截图及原因。未事前审批的超标住宿，原则上按对应城市标准报销。与客户共同住宿不改变公司标准。</w:t>
      </w:r>
    </w:p>
    <w:p>
      <w:pPr>
        <w:pStyle w:val="Heading1"/>
        <w:widowControl/>
      </w:pPr>
      <w:r>
        <w:t>餐饮和市内交通</w:t>
      </w:r>
    </w:p>
    <w:p>
      <w:pPr>
        <w:widowControl/>
      </w:pPr>
      <w:r>
        <w:t>出差期间按实际发生报销餐费，A类城市每日上限120元，B类城市100元，其他城市80元；客户提供餐食的对应餐次不得重复报销。</w:t>
      </w:r>
    </w:p>
    <w:p>
      <w:pPr>
        <w:widowControl/>
      </w:pPr>
      <w:r>
        <w:t>机场、高铁站与办公地点之间可使用出租车或网约车。单次超过200元时需说明起终点和原因。</w:t>
      </w:r>
    </w:p>
    <w:p>
      <w:pPr>
        <w:widowControl/>
      </w:pPr>
      <w:r>
        <w:t>个人购物、迷你吧、娱乐、罚款、交通违法费用及同行家属费用不得报销。</w:t>
      </w:r>
    </w:p>
    <w:p>
      <w:pPr>
        <w:widowControl/>
      </w:pPr>
      <w:r>
        <w:t>业务招待应事前说明客户单位、参加人员和目的；人均超过300元需部门负责人批准。</w:t>
      </w:r>
    </w:p>
    <w:p>
      <w:pPr>
        <w:pStyle w:val="Heading1"/>
        <w:widowControl/>
      </w:pPr>
      <w:r>
        <w:t>报销流程</w:t>
      </w:r>
    </w:p>
    <w:p>
      <w:pPr>
        <w:widowControl/>
      </w:pPr>
      <w:r>
        <w:t>员工应在行程结束或费用发生后10个自然日内提交报销单。</w:t>
      </w:r>
    </w:p>
    <w:p>
      <w:pPr>
        <w:widowControl/>
      </w:pPr>
      <w:r>
        <w:t>上传发票、支付记录、行程单、审批记录以及项目编号；电子发票须保证首次报销。</w:t>
      </w:r>
    </w:p>
    <w:p>
      <w:pPr>
        <w:widowControl/>
      </w:pPr>
      <w:r>
        <w:t>直属经理确认业务真实性，项目经理确认项目归属，财务支持组审核票据和标准。</w:t>
      </w:r>
    </w:p>
    <w:p>
      <w:pPr>
        <w:widowControl/>
      </w:pPr>
      <w:r>
        <w:t>审核通过后，每周二和周五统一付款；遇节假日顺延。</w:t>
      </w:r>
    </w:p>
    <w:p>
      <w:pPr>
        <w:pStyle w:val="Heading2"/>
        <w:widowControl/>
      </w:pPr>
      <w:r>
        <w:t>遗失票据</w:t>
      </w:r>
    </w:p>
    <w:p>
      <w:pPr>
        <w:widowControl/>
      </w:pPr>
      <w:r>
        <w:t>无法补开的交通或住宿票据，员工应提交付款记录、服务商说明及遗失声明。单笔不超过200元且年度累计不超过500元的，可由部门负责人和财务负责人共同审批；超出该范围原则上不予报销。</w:t>
      </w:r>
    </w:p>
    <w:p>
      <w:pPr>
        <w:pStyle w:val="Heading1"/>
        <w:widowControl/>
      </w:pPr>
      <w:r>
        <w:t>公司卡与借款</w:t>
      </w:r>
    </w:p>
    <w:p>
      <w:pPr>
        <w:widowControl/>
      </w:pPr>
      <w:r>
        <w:t>持有公司卡的员工应优先使用公司卡支付已批准的差旅和订阅费用，不得用于个人消费。现金借款须在差旅开始前3个工作日申请，并在返程后10个自然日内核销；前一笔借款未核销的，不再发放新借款。</w:t>
      </w:r>
    </w:p>
    <w:p>
      <w:pPr>
        <w:pStyle w:val="Heading1"/>
        <w:widowControl/>
      </w:pPr>
      <w:r>
        <w:t>例外与审计</w:t>
      </w:r>
    </w:p>
    <w:p>
      <w:pPr>
        <w:widowControl/>
      </w:pPr>
      <w:r>
        <w:t>任何例外必须记录原因、金额和批准人。拆分订单、拆分发票或改变费用类别以规避审批阈值属于违规。财务支持组每季度抽查差旅、招待和订阅费用，并可要求补充客户会议记录、项目记录或服务使用证明。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 w:line="288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88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差旅与费用报销管理制度</dc:title>
  <dc:subject>虚构测试资料，仅用于知识库开发与评估，不具有实际管理或法律效力。</dc:subject>
  <dc:creator>星海科技有限公司</dc:creator>
  <cp:keywords/>
  <dc:description/>
  <cp:lastModifiedBy>星海科技有限公司</cp:lastModifiedBy>
  <cp:revision>1</cp:revision>
  <dcterms:created xsi:type="dcterms:W3CDTF">2013-12-23T23:15:00Z</dcterms:created>
  <dcterms:modified xsi:type="dcterms:W3CDTF">2013-12-23T23:15:00Z</dcterms:modified>
  <cp:category/>
</cp:coreProperties>
</file>