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采购与供应商准入流程手册</w:t>
      </w:r>
    </w:p>
    <w:p>
      <w:pPr>
        <w:widowControl/>
      </w:pPr>
      <w:r>
        <w:t>星海科技有限公司</w:t>
      </w:r>
    </w:p>
    <w:p>
      <w:pPr>
        <w:widowControl/>
      </w:pPr>
      <w:r>
        <w:t>归口部门：人力资源部采购支持组；入库范围：公司公共；可见范围：本公司已授权员工。</w:t>
      </w:r>
    </w:p>
    <w:p>
      <w:pPr>
        <w:pStyle w:val="Heading1"/>
        <w:widowControl/>
      </w:pPr>
      <w:r>
        <w:t>文档信息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384"/>
        <w:gridCol w:w="1440"/>
        <w:gridCol w:w="3384"/>
      </w:tblGrid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文档编号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XH-OPS-2026-05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1.2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人力资源部采购支持组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批准角色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总经理办公会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生效日期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2026年7月1日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复审日期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2027年6月30日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适用范围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公司全体员工及经授权的外部协作人员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密级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内部使用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适用说明</w:t>
      </w:r>
    </w:p>
    <w:p>
      <w:pPr>
        <w:widowControl/>
      </w:pPr>
      <w:r>
        <w:t>本手册说明从采购需求提出、供应商筛选、合同审批到验收付款的操作步骤。流程适用于软件订阅、专业服务、设备和办公物资。任何人不得通过拆单或事后补单规避审批。</w:t>
      </w:r>
    </w:p>
    <w:p>
      <w:pPr>
        <w:pStyle w:val="Heading1"/>
        <w:widowControl/>
      </w:pPr>
      <w:r>
        <w:t>采购分级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880"/>
        <w:gridCol w:w="2304"/>
        <w:gridCol w:w="2880"/>
      </w:tblGrid>
      <w:tr>
        <w:trPr>
          <w:cantSplit/>
          <w:tblHeader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预计含税金额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询价要求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批准人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附加要求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不超过5000元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可直接选购，但需说明价格合理性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成本中心负责人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不得拆单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5000元以上至50000元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至少2家有效报价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部门负责人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形成比价记录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50000元以上至300000元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至少3家有效报价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部门负责人和财务负责人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完成供应商准入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超过300000元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原则上公开或邀请招标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采购评审委员会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法务及信息安全参与评审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标准采购流程</w:t>
      </w:r>
    </w:p>
    <w:p>
      <w:pPr>
        <w:widowControl/>
      </w:pPr>
      <w:r>
        <w:t>需求人提交采购申请，说明业务目的、技术要求、预算、交付日期、成本中心和是否处理公司或客户数据。</w:t>
      </w:r>
    </w:p>
    <w:p>
      <w:pPr>
        <w:widowControl/>
      </w:pPr>
      <w:r>
        <w:t>人力资源部采购支持组确认采购类别和询价要求，组织候选供应商收集。需求人不得在批准前向供应商作出采购承诺。</w:t>
      </w:r>
    </w:p>
    <w:p>
      <w:pPr>
        <w:widowControl/>
      </w:pPr>
      <w:r>
        <w:t>评审人员依据功能、价格、交付、服务、安全和退出成本评分。不得只依据最低价格作出选择。</w:t>
      </w:r>
    </w:p>
    <w:p>
      <w:pPr>
        <w:widowControl/>
      </w:pPr>
      <w:r>
        <w:t>合同审查负责人审核合同条款，信息安全团队审核涉及系统接入、源代码或数据处理的采购。</w:t>
      </w:r>
    </w:p>
    <w:p>
      <w:pPr>
        <w:widowControl/>
      </w:pPr>
      <w:r>
        <w:t>合同完成签署且采购订单生效后，供应商方可开始交付。</w:t>
      </w:r>
    </w:p>
    <w:p>
      <w:pPr>
        <w:widowControl/>
      </w:pPr>
      <w:r>
        <w:t>需求人验收交付物，财务支持组依据合同、订单、验收和发票执行付款。</w:t>
      </w:r>
    </w:p>
    <w:p>
      <w:pPr>
        <w:pStyle w:val="Heading1"/>
        <w:widowControl/>
      </w:pPr>
      <w:r>
        <w:t>供应商准入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744"/>
        <w:gridCol w:w="3888"/>
      </w:tblGrid>
      <w:tr>
        <w:trPr>
          <w:cantSplit/>
          <w:tblHeader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检查项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普通供应商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关键供应商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主体与收款信息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营业信息、收款账户、联系人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同左，并验证实际控制及关联关系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合规与利益冲突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制裁与诚信声明、员工关系披露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同左，并开展增强尽调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信息安全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不接触公司数据时可简化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安全问卷、架构说明、漏洞与事件机制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业务连续性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交付计划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恢复目标、替代方案、退出和数据迁移计划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复审频率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每24个月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每12个月或重大变化时</w:t>
            </w:r>
          </w:p>
        </w:tc>
      </w:tr>
    </w:tbl>
    <w:p>
      <w:pPr>
        <w:spacing w:after="20"/>
      </w:pPr>
    </w:p>
    <w:p>
      <w:pPr>
        <w:pStyle w:val="Heading2"/>
        <w:widowControl/>
      </w:pPr>
      <w:r>
        <w:t>关键供应商定义</w:t>
      </w:r>
    </w:p>
    <w:p>
      <w:pPr>
        <w:widowControl/>
      </w:pPr>
      <w:r>
        <w:t>满足以下任一条件的供应商视为关键供应商：服务中断会使核心业务超过4小时不可用；处理机密或严格机密数据；年度采购金额超过300000元；提供不可替代的生产基础设施；或者合同退出预计超过30日。</w:t>
      </w:r>
    </w:p>
    <w:p>
      <w:pPr>
        <w:pStyle w:val="Heading1"/>
        <w:widowControl/>
      </w:pPr>
      <w:r>
        <w:t>单一来源例外</w:t>
      </w:r>
    </w:p>
    <w:p>
      <w:pPr>
        <w:widowControl/>
      </w:pPr>
      <w:r>
        <w:t>只有在专利或独占授权、与现有系统存在不可替代兼容性、突发业务连续性需要，或市场上确无可比替代方案时，才可申请单一来源。申请人须说明原因、价格验证方式、风险和退出方案。金额超过50000元的单一来源采购需部门负责人、人力资源部采购支持组负责人和财务负责人共同批准。</w:t>
      </w:r>
    </w:p>
    <w:p>
      <w:pPr>
        <w:pStyle w:val="Heading1"/>
        <w:widowControl/>
      </w:pPr>
      <w:r>
        <w:t>验收与付款</w:t>
      </w:r>
    </w:p>
    <w:p>
      <w:pPr>
        <w:widowControl/>
      </w:pPr>
      <w:r>
        <w:t>实物采购应核对数量、型号、外观和资产编号；软件和服务采购应依据合同验收标准验证功能、权限、文档、数据迁移和培训。首付款超过合同总额30%时，须说明商业必要性并评估履约保障。不得以发票开具代替交付验收。</w:t>
      </w:r>
    </w:p>
    <w:p>
      <w:pPr>
        <w:pStyle w:val="Heading1"/>
        <w:widowControl/>
      </w:pPr>
      <w:r>
        <w:t>变更与续约</w:t>
      </w:r>
    </w:p>
    <w:p>
      <w:pPr>
        <w:widowControl/>
      </w:pPr>
      <w:r>
        <w:t>合同金额增加超过原合同10%、服务范围发生实质变化、数据处理范围扩大或合同期限延长超过6个月时，应重新履行相应审批。自动续约合同的业务负责人须在续约日前至少30日确认使用情况、预算和退出条件；未确认的，人力资源部采购支持组有权发起取消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88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采购与供应商准入流程手册</dc:title>
  <dc:subject>虚构测试资料，仅用于知识库开发与评估，不具有实际管理或法律效力。</dc:subject>
  <dc:creator>星海科技有限公司</dc:creator>
  <cp:keywords/>
  <dc:description/>
  <cp:lastModifiedBy>星海科技有限公司</cp:lastModifiedBy>
  <cp:revision>1</cp:revision>
  <dcterms:created xsi:type="dcterms:W3CDTF">2013-12-23T23:15:00Z</dcterms:created>
  <dcterms:modified xsi:type="dcterms:W3CDTF">2013-12-23T23:15:00Z</dcterms:modified>
  <cp:category/>
</cp:coreProperties>
</file>