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客户项目交付与变更管理流程手册</w:t>
      </w:r>
    </w:p>
    <w:p>
      <w:pPr>
        <w:widowControl/>
      </w:pPr>
      <w:r>
        <w:t>星海科技有限公司</w:t>
      </w:r>
    </w:p>
    <w:p>
      <w:pPr>
        <w:widowControl/>
      </w:pPr>
      <w:r>
        <w:t>归口部门：技术部项目交付组；入库范围：技术部；可见范围：技术部成员及显式授权人员。</w:t>
      </w:r>
    </w:p>
    <w:p>
      <w:pPr>
        <w:pStyle w:val="Heading1"/>
        <w:widowControl/>
      </w:pPr>
      <w:r>
        <w:t>文档信息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384"/>
        <w:gridCol w:w="1440"/>
        <w:gridCol w:w="3384"/>
      </w:tblGrid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文档编号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XH-PMO-2026-04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归口部门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技术部项目交付组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批准角色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总经理办公会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生效日期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2026年7月1日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复审日期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2027年6月30日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适用范围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公司全体员工及经授权的外部协作人员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密级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内部使用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适用说明</w:t>
      </w:r>
    </w:p>
    <w:p>
      <w:pPr>
        <w:widowControl/>
      </w:pPr>
      <w:r>
        <w:t>本手册用于规范企业软件项目从立项、需求基线、实施、验收到质保移交的全过程。项目经理对进度和证据完整性负责，产品、研发、测试、交付和客户代表按阶段共同确认。</w:t>
      </w:r>
    </w:p>
    <w:p>
      <w:pPr>
        <w:pStyle w:val="Heading1"/>
        <w:widowControl/>
      </w:pPr>
      <w:r>
        <w:t>项目阶段与出口条件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744"/>
        <w:gridCol w:w="3888"/>
      </w:tblGrid>
      <w:tr>
        <w:trPr>
          <w:cantSplit/>
          <w:tblHeader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主要输出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立项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项目章程、角色表、初步范围与风险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商务范围与项目目标已确认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需求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需求规格、原型、需求追踪矩阵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客户代表签署需求基线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设计与实施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技术方案、配置、接口和迁移计划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方案评审通过，环境准备完成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测试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测试计划、缺陷清单、测试报告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阻断缺陷清零，其他缺陷有处置计划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用户验收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UAT记录、培训记录、上线确认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客户签署验收或满足默示验收条件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质保移交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运维手册、账号清单、遗留事项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支持团队接受移交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需求基线</w:t>
      </w:r>
    </w:p>
    <w:p>
      <w:pPr>
        <w:widowControl/>
      </w:pPr>
      <w:r>
        <w:t>项目启动后，业务分析人员将合同范围细化为可验证需求。每项需求应包含业务背景、处理规则、角色权限、验收标准和来源。客户通过会议纪要、工单或电子签署确认需求基线后，任何影响范围、费用、交期或验收标准的调整均须进入变更流程。</w:t>
      </w:r>
    </w:p>
    <w:p>
      <w:pPr>
        <w:pStyle w:val="Heading1"/>
        <w:widowControl/>
      </w:pPr>
      <w:r>
        <w:t>变更请求</w:t>
      </w:r>
    </w:p>
    <w:p>
      <w:pPr>
        <w:widowControl/>
      </w:pPr>
      <w:r>
        <w:t>提出人创建变更请求CR，说明现状、期望、业务原因、紧急程度和期望日期。</w:t>
      </w:r>
    </w:p>
    <w:p>
      <w:pPr>
        <w:widowControl/>
      </w:pPr>
      <w:r>
        <w:t>项目经理组织产品、技术和测试评估影响，至少覆盖工作量、费用、进度、架构、安全和数据迁移。</w:t>
      </w:r>
    </w:p>
    <w:p>
      <w:pPr>
        <w:widowControl/>
      </w:pPr>
      <w:r>
        <w:t>不增加费用且不改变里程碑、累计工作量不超过2人日的调整，可由项目经理和客户项目负责人批准。</w:t>
      </w:r>
    </w:p>
    <w:p>
      <w:pPr>
        <w:widowControl/>
      </w:pPr>
      <w:r>
        <w:t>超过2人日、改变合同范围、影响里程碑或引入新数据类别的变更，须由双方授权代表书面批准。</w:t>
      </w:r>
    </w:p>
    <w:p>
      <w:pPr>
        <w:widowControl/>
      </w:pPr>
      <w:r>
        <w:t>变更批准后更新计划、需求基线、测试范围和交付清单；未批准的内容不得进入生产。</w:t>
      </w:r>
    </w:p>
    <w:p>
      <w:pPr>
        <w:pStyle w:val="Heading2"/>
        <w:widowControl/>
      </w:pPr>
      <w:r>
        <w:t>紧急变更</w:t>
      </w:r>
    </w:p>
    <w:p>
      <w:pPr>
        <w:widowControl/>
      </w:pPr>
      <w:r>
        <w:t>为恢复P1生产故障或处理正在利用的严重安全漏洞，可以先执行紧急变更。技术负责人和客户指定联系人须在实施前完成最低限度的风险、回退与验证确认；完整记录和补充审批应在恢复后1个工作日内完成。紧急标签不能用于规避正常排期。</w:t>
      </w:r>
    </w:p>
    <w:p>
      <w:pPr>
        <w:pStyle w:val="Heading1"/>
        <w:widowControl/>
      </w:pPr>
      <w:r>
        <w:t>缺陷分级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744"/>
        <w:gridCol w:w="3888"/>
      </w:tblGrid>
      <w:tr>
        <w:trPr>
          <w:cantSplit/>
          <w:tblHeader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级别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判定示例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处置要求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阻断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核心流程无法继续且无可行替代方案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停止发布；修复并完成回归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严重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重要功能错误、数据结果错误或权限风险，但存在临时方案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原则上上线前解决；延期需双方书面接受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一般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局部功能或体验问题，不影响主要业务完成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纳入修复计划并明确版本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建议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体验优化或新增需求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转入产品需求池，不作为缺陷阻止验收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验收规则</w:t>
      </w:r>
    </w:p>
    <w:p>
      <w:pPr>
        <w:widowControl/>
      </w:pPr>
      <w:r>
        <w:t>客户应在收到可验收版本和完整验收材料后10个工作日内完成验收并一次性反馈不符合项。反馈应关联已确认的验收标准。客户未在期限内反馈且系统已投入生产连续运行5个工作日的，项目团队可以依据合同主张默示验收，但仍需完成内部交付审查。</w:t>
      </w:r>
    </w:p>
    <w:p>
      <w:pPr>
        <w:pStyle w:val="Heading1"/>
        <w:widowControl/>
      </w:pPr>
      <w:r>
        <w:t>上线与回退</w:t>
      </w:r>
    </w:p>
    <w:p>
      <w:pPr>
        <w:widowControl/>
      </w:pPr>
      <w:r>
        <w:t>上线方案须包含时间窗口、操作人、备份点、监控项、验证脚本、通知对象和回退条件。上线后30分钟内完成核心业务冒烟验证。出现数据破坏、核心指标连续10分钟异常或无法在计划窗口内完成验证时，由上线负责人决定回退并启动事件流程。</w:t>
      </w:r>
    </w:p>
    <w:p>
      <w:pPr>
        <w:pStyle w:val="Heading1"/>
        <w:widowControl/>
      </w:pPr>
      <w:r>
        <w:t>质保与关闭</w:t>
      </w:r>
    </w:p>
    <w:p>
      <w:pPr>
        <w:widowControl/>
      </w:pPr>
      <w:r>
        <w:t>除合同另有约定，项目质保期为最终验收后90日。质保仅覆盖已交付范围内的缺陷，不包含新增需求、第三方服务变化或客户未经批准的环境修改。项目关闭前应确认遗留事项负责人、文档归档位置、账号移交、数据删除安排和经验复盘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88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客户项目交付与变更管理流程手册</dc:title>
  <dc:subject>虚构测试资料，仅用于知识库开发与评估，不具有实际管理或法律效力。</dc:subject>
  <dc:creator>星海科技有限公司</dc:creator>
  <cp:keywords/>
  <dc:description/>
  <cp:lastModifiedBy>星海科技有限公司</cp:lastModifiedBy>
  <cp:revision>1</cp:revision>
  <dcterms:created xsi:type="dcterms:W3CDTF">2013-12-23T23:15:00Z</dcterms:created>
  <dcterms:modified xsi:type="dcterms:W3CDTF">2013-12-23T23:15:00Z</dcterms:modified>
  <cp:category/>
</cp:coreProperties>
</file>