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文档入库验收与知识更新规范</w:t>
      </w:r>
    </w:p>
    <w:p>
      <w:pPr>
        <w:widowControl/>
      </w:pPr>
      <w:r>
        <w:t>星海科技有限公司</w:t>
      </w:r>
    </w:p>
    <w:p>
      <w:pPr>
        <w:widowControl/>
      </w:pPr>
      <w:r>
        <w:t>归口部门：平台研发部；入库范围：平台研发部；可见范围：平台研发部成员及显式授权人员。</w:t>
      </w:r>
    </w:p>
    <w:p>
      <w:pPr>
        <w:widowControl/>
      </w:pPr>
      <w:r>
        <w:t>文档编号：XH-RD-2026-29；版本1.0；2026年10月1日生效。</w:t>
      </w:r>
    </w:p>
    <w:p>
      <w:pPr>
        <w:pStyle w:val="Heading1"/>
        <w:widowControl/>
      </w:pPr>
      <w:r>
        <w:t>入库责任</w:t>
      </w:r>
    </w:p>
    <w:p>
      <w:pPr>
        <w:widowControl/>
      </w:pPr>
      <w:r>
        <w:t>文档归口部门确认内容与可见范围，知识运营人员选择目标知识库，平台研发部维护解析与索引链路。目录中的部门名只用于整理，真正的权限由数据库授权和后端检索过滤决定。不得把全部部门文件一次性上传公司公共库。</w:t>
      </w:r>
    </w:p>
    <w:p>
      <w:pPr>
        <w:pStyle w:val="Heading1"/>
        <w:widowControl/>
      </w:pPr>
      <w:r>
        <w:t>格式验收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3744"/>
        <w:gridCol w:w="3888"/>
      </w:tblGrid>
      <w:tr>
        <w:trPr>
          <w:cantSplit/>
          <w:tblHeader/>
        </w:trPr>
        <w:tc>
          <w:tcPr>
            <w:tcW w:type="dxa" w:w="2016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EEF2F6"/>
          </w:tcPr>
          <w:p>
            <w:pPr>
              <w:keepNext w:val="0"/>
              <w:widowControl/>
              <w:spacing w:after="40" w:line="276" w:lineRule="auto"/>
              <w:jc w:val="center"/>
            </w:pPr>
            <w:r>
              <w:rPr>
                <w:b/>
                <w:color w:val="000000"/>
                <w:sz w:val="20"/>
              </w:rPr>
              <w:t>格式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EEF2F6"/>
          </w:tcPr>
          <w:p>
            <w:pPr>
              <w:keepNext w:val="0"/>
              <w:widowControl/>
              <w:spacing w:after="40" w:line="276" w:lineRule="auto"/>
              <w:jc w:val="center"/>
            </w:pPr>
            <w:r>
              <w:rPr>
                <w:b/>
                <w:color w:val="000000"/>
                <w:sz w:val="20"/>
              </w:rPr>
              <w:t>应保留的信息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  <w:shd w:fill="EEF2F6"/>
          </w:tcPr>
          <w:p>
            <w:pPr>
              <w:keepNext w:val="0"/>
              <w:widowControl/>
              <w:spacing w:after="40" w:line="276" w:lineRule="auto"/>
              <w:jc w:val="center"/>
            </w:pPr>
            <w:r>
              <w:rPr>
                <w:b/>
                <w:color w:val="000000"/>
                <w:sz w:val="20"/>
              </w:rPr>
              <w:t>异常处理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文本PDF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标题、页码、跨页段落和表格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检查页眉清洗与阅读顺序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扫描PDF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真实OCR文本及识别来源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缺少OCR时明确失败，不用答案替代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Markdown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标题路径、表格、代码围栏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不将代码与条件段任意拆开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TXT</w:t>
            </w:r>
          </w:p>
        </w:tc>
        <w:tc>
          <w:tcPr>
            <w:tcW w:type="dxa" w:w="3744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段落、编号、时间线</w:t>
            </w:r>
          </w:p>
        </w:tc>
        <w:tc>
          <w:tcPr>
            <w:tcW w:type="dxa" w:w="3888"/>
            <w:tcMar>
              <w:top w:w="90" w:type="dxa"/>
              <w:bottom w:w="90" w:type="dxa"/>
              <w:left w:w="100" w:type="dxa"/>
              <w:right w:w="100" w:type="dxa"/>
            </w:tcMar>
            <w:vAlign w:val="center"/>
          </w:tcPr>
          <w:p>
            <w:pPr>
              <w:keepNext w:val="0"/>
              <w:widowControl/>
              <w:spacing w:after="40" w:line="276" w:lineRule="auto"/>
              <w:jc w:val="left"/>
            </w:pPr>
            <w:r>
              <w:rPr>
                <w:b w:val="0"/>
                <w:color w:val="000000"/>
                <w:sz w:val="20"/>
              </w:rPr>
              <w:t>保留工单号与时间上下文</w:t>
            </w:r>
          </w:p>
        </w:tc>
      </w:tr>
    </w:tbl>
    <w:p>
      <w:pPr>
        <w:spacing w:after="20"/>
      </w:pPr>
    </w:p>
    <w:p>
      <w:pPr>
        <w:pStyle w:val="Heading1"/>
        <w:widowControl/>
      </w:pPr>
      <w:r>
        <w:t>状态与重试</w:t>
      </w:r>
    </w:p>
    <w:p>
      <w:pPr>
        <w:widowControl/>
      </w:pPr>
      <w:r>
        <w:t>上传成功不等于可检索。文档需经过解析、切分、关键词构建和向量索引，完成后才标记ready。failed文档不得进入候选集合；重试需保留原失败原因、次数和执行时间，不能用手工改状态代替实际索引。</w:t>
      </w:r>
    </w:p>
    <w:p>
      <w:pPr>
        <w:widowControl/>
      </w:pPr>
      <w:r>
        <w:t>内容变更时核对编号、版本、生效日期和归档标记。纯排版变化与政策变更应区分；旧差旅标准保留历史用途，但回答当前费用时必须引用现行版本。新旧版都已入库时，不能仅以相似度决定当前有效版本。</w:t>
      </w:r>
    </w:p>
    <w:p>
      <w:pPr>
        <w:pStyle w:val="Heading1"/>
        <w:widowControl/>
      </w:pPr>
      <w:r>
        <w:t>权限与测试</w:t>
      </w:r>
    </w:p>
    <w:p>
      <w:pPr>
        <w:widowControl/>
      </w:pPr>
      <w:r>
        <w:t>入库前执行单部门可读、跨授权可读和未授权拒答三类检查。每个部门至少抽查2份文档的归属与引用来源；敏感材料先脱敏，真实密钥、工资明细和个人身份材料不得用于演示。删除或撤权后核验旧分块、关键词索引和历史展示是否仍可被不当访问。</w:t>
      </w:r>
    </w:p>
    <w:p>
      <w:pPr>
        <w:pStyle w:val="Heading1"/>
        <w:widowControl/>
      </w:pPr>
      <w:r>
        <w:t>运维记录</w:t>
      </w:r>
    </w:p>
    <w:p>
      <w:pPr>
        <w:widowControl/>
      </w:pPr>
      <w:r>
        <w:t>知识运营人员登记文件哈希、目标知识库、归口部门、入库批次与失败项。结构验收、OCR验收、检索质量及端到端问答质量应分别记录；不得用文件能打开或生成器运行成功代表质量达标。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Microsoft YaHei" w:hAnsi="Microsoft YaHei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00" w:line="288" w:lineRule="auto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00" w:line="288" w:lineRule="auto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88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文档入库验收与知识更新规范</dc:title>
  <dc:subject>虚构测试资料，仅用于知识库开发与评估，不具有实际管理或法律效力。</dc:subject>
  <dc:creator>星海科技有限公司</dc:creator>
  <cp:keywords/>
  <dc:description/>
  <cp:lastModifiedBy>星海科技有限公司</cp:lastModifiedBy>
  <cp:revision>1</cp:revision>
  <dcterms:created xsi:type="dcterms:W3CDTF">2013-12-23T23:15:00Z</dcterms:created>
  <dcterms:modified xsi:type="dcterms:W3CDTF">2013-12-23T23:15:00Z</dcterms:modified>
  <cp:category/>
</cp:coreProperties>
</file>