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 A17首件检验规范</w:t>
      </w:r>
    </w:p>
    <w:p>
      <w:r>
        <w:t>文档编号：HC-QC-A17-001</w:t>
      </w:r>
    </w:p>
    <w:p>
      <w:r>
        <w:t>版本：1.0</w:t>
      </w:r>
    </w:p>
    <w:p>
      <w:r>
        <w:t>生效日期：2026-10-01</w:t>
      </w:r>
    </w:p>
    <w:p>
      <w:r>
        <w:t>状态：现行</w:t>
      </w:r>
    </w:p>
    <w:p>
      <w:r>
        <w:t>适用范围：HC-A17的OP-20首件检验</w:t>
      </w:r>
    </w:p>
    <w:p>
      <w:pPr>
        <w:pStyle w:val="Heading1"/>
      </w:pPr>
      <w:r>
        <w:t>1 检验范围</w:t>
      </w:r>
    </w:p>
    <w:p>
      <w:r>
        <w:t>适用于HC-A17的OP-20首件检验，须按指导书要求逐件完成全部必检项目。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r>
              <w:rPr>
                <w:b/>
              </w:rPr>
              <w:t>标准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r>
              <w:rPr>
                <w:b/>
              </w:rPr>
              <w:t>条件或备注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外径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19.95至20.05 mm，包含上下限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MIC-025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记录每件原始读数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孔深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12.00至12.10 mm，包含上下限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CAL-150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清洁孔内切屑后测量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外观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无可见毛刺和碰伤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目视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全部首件逐件检查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记录与签署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工单、批次、量具编号及质量人员签署齐全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检验记录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缺项时不得确认首件通过</w:t>
            </w:r>
          </w:p>
        </w:tc>
      </w:tr>
    </w:tbl>
    <w:p/>
    <w:p>
      <w:pPr>
        <w:pStyle w:val="Heading1"/>
      </w:pPr>
      <w:r>
        <w:t>2 原始记录</w:t>
      </w:r>
    </w:p>
    <w:p>
      <w:r>
        <w:t>外径和孔深是两个独立检查项目，不得混用上下限。零读数也必须记录。外观合格不能替代尺寸检查，尺寸合格不能替代质量签署。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衡川精密  作业文件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制造业模拟语料维护者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