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差旅与费用报销管理制度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启明数字科技有限公司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企业 RAG 测试语料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QM-FIN-2026-03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1.4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归口部门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财务部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批准角色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总经理办公会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生效日期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2026年7月1日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复审日期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2027年6月30日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适用范围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公司全体员工及经授权的外部协作人员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密级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内部使用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1"/>
        </w:rPr>
        <w:t>文件说明：</w:t>
      </w:r>
      <w:r>
        <w:rPr>
          <w:rFonts w:ascii="Microsoft YaHei" w:hAnsi="Microsoft YaHei" w:eastAsia="Microsoft YaHei"/>
          <w:b w:val="0"/>
          <w:color w:val="000000"/>
          <w:sz w:val="21"/>
        </w:rPr>
        <w:t>模拟企业文件，仅用于检索增强生成系统的开发、测试与评估，不具有实际管理或法律效力。</w:t>
      </w:r>
    </w:p>
    <w:p>
      <w:pPr>
        <w:jc w:val="both"/>
      </w:pPr>
      <w:r>
        <w:t>本制度用于控制差旅、招待、采购垫付及日常业务费用。所有费用必须具有真实业务目的、完成必要审批并取得合规凭证。超过标准的部分不会因经理口头同意而自动报销。</w:t>
      </w:r>
    </w:p>
    <w:p>
      <w:pPr>
        <w:pStyle w:val="Heading1"/>
      </w:pPr>
      <w:r>
        <w:t>1 差旅申请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员工应在出发前提交差旅申请，说明目的、地点、日期、同行人员、预计费用和客户或项目编号。预计总额超过3000元的国内差旅由部门负责人审批；任何境外差旅还需财务负责人和总经理审批。紧急出差可以先获书面即时消息批准，并在返程后2个工作日内补录。</w:t>
      </w:r>
    </w:p>
    <w:p>
      <w:pPr>
        <w:pStyle w:val="Heading1"/>
      </w:pPr>
      <w:r>
        <w:t>2 交通与住宿标准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15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普通员工</w:t>
            </w:r>
          </w:p>
        </w:tc>
        <w:tc>
          <w:tcPr>
            <w:tcW w:type="dxa" w:w="243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部门负责人及以上</w:t>
            </w:r>
          </w:p>
        </w:tc>
        <w:tc>
          <w:tcPr>
            <w:tcW w:type="dxa" w:w="3005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飞机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经济舱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经济舱；飞行超过6小时可申请高端经济舱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原则上提前7日预订</w:t>
            </w:r>
          </w:p>
        </w:tc>
      </w:tr>
      <w:t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高铁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二等座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一等座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同城短途优先公共交通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A类城市住宿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每晚不超过650元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每晚不超过850元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北京、上海、深圳、广州</w:t>
            </w:r>
          </w:p>
        </w:tc>
      </w:tr>
      <w:t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B类城市住宿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每晚不超过500元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每晚不超过650元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省会及计划单列市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其他城市住宿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每晚不超过380元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每晚不超过500元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含税费后的单间价格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大型展会、极端天气或客户指定酒店导致超标时，员工应在预订前提交价格截图及原因。未事前审批的超标住宿，原则上按对应城市标准报销。与客户共同住宿不改变公司标准。</w:t>
      </w:r>
    </w:p>
    <w:p>
      <w:pPr>
        <w:pStyle w:val="Heading1"/>
      </w:pPr>
      <w:r>
        <w:t>3 餐饮和市内交通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出差期间按实际发生报销餐费，A类城市每日上限120元，B类城市100元，其他城市80元；客户提供餐食的对应餐次不得重复报销。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机场、高铁站与办公地点之间可使用出租车或网约车。单次超过200元时需说明起终点和原因。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个人购物、迷你吧、娱乐、罚款、交通违法费用及同行家属费用不得报销。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业务招待应事前说明客户单位、参加人员和目的；人均超过300元需部门负责人批准。</w:t>
      </w:r>
    </w:p>
    <w:p>
      <w:pPr>
        <w:pStyle w:val="Heading1"/>
      </w:pPr>
      <w:r>
        <w:t>4 报销流程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员工应在行程结束或费用发生后10个自然日内提交报销单。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上传发票、支付记录、行程单、审批记录以及项目编号；电子发票须保证首次报销。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直属经理确认业务真实性，项目经理确认项目归属，财务部审核票据和标准。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审核通过后，每周二和周五统一付款；遇节假日顺延。</w:t>
      </w:r>
    </w:p>
    <w:p>
      <w:pPr>
        <w:pStyle w:val="Heading2"/>
      </w:pPr>
      <w:r>
        <w:t>4.1 遗失票据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无法补开的交通或住宿票据，员工应提交付款记录、服务商说明及遗失声明。单笔不超过200元且年度累计不超过500元的，可由部门负责人和财务负责人共同审批；超出该范围原则上不予报销。</w:t>
      </w:r>
    </w:p>
    <w:p>
      <w:pPr>
        <w:pStyle w:val="Heading1"/>
      </w:pPr>
      <w:r>
        <w:t>5 公司卡与借款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持有公司卡的员工应优先使用公司卡支付已批准的差旅和订阅费用，不得用于个人消费。现金借款须在差旅开始前3个工作日申请，并在返程后10个自然日内核销；前一笔借款未核销的，不再发放新借款。</w:t>
      </w:r>
    </w:p>
    <w:p>
      <w:pPr>
        <w:pStyle w:val="Heading1"/>
      </w:pPr>
      <w:r>
        <w:t>6 例外与审计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任何例外必须记录原因、金额和批准人。拆分订单、拆分发票或改变费用类别以规避审批阈值属于违规。财务部每季度抽查差旅、招待和订阅费用，并可要求补充客户会议记录、项目记录或服务使用证明。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QM-FIN-2026-03  |  </w:t>
    </w:r>
    <w:r>
      <w:rPr>
        <w:rFonts w:ascii="Microsoft YaHei" w:hAnsi="Microsoft YaHei" w:eastAsia="Microsoft YaHei"/>
        <w:b w:val="0"/>
        <w:color w:val="666666"/>
        <w:sz w:val="16"/>
      </w:rPr>
      <w:t xml:space="preserve">第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启明数字科技有限公司  |  内部使用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差旅与费用报销管理制度</dc:title>
  <dc:subject>规章制度</dc:subject>
  <dc:creator>python-docx</dc:creator>
  <cp:keywords>模拟企业文档,RAG测试,启明数字科技</cp:keywords>
  <dc:description>模拟企业文件，仅用于检索增强生成系统的开发、测试与评估，不具有实际管理或法律效力。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