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信息安全与数据分级管理制度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启明数字科技有限公司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企业 RAG 测试语料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QM-SEC-2026-02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归口部门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信息安全委员会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批准角色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总经理办公会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生效日期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2026年7月1日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复审日期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2027年6月30日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适用范围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公司全体员工及经授权的外部协作人员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密级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机密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1"/>
        </w:rPr>
        <w:t>文件说明：</w:t>
      </w:r>
      <w:r>
        <w:rPr>
          <w:rFonts w:ascii="Microsoft YaHei" w:hAnsi="Microsoft YaHei" w:eastAsia="Microsoft YaHei"/>
          <w:b w:val="0"/>
          <w:color w:val="000000"/>
          <w:sz w:val="21"/>
        </w:rPr>
        <w:t>模拟企业文件，仅用于检索增强生成系统的开发、测试与评估，不具有实际管理或法律效力。</w:t>
      </w:r>
    </w:p>
    <w:p>
      <w:pPr>
        <w:jc w:val="both"/>
      </w:pPr>
      <w:r>
        <w:t>本制度建立数据分类、访问控制、外发、留存和事件报告要求。数据所有者负责确定业务分类，信息安全团队负责控制基线与审计，所有接触公司数据的人员均须遵守最小权限原则。</w:t>
      </w:r>
    </w:p>
    <w:p>
      <w:pPr>
        <w:pStyle w:val="Heading1"/>
      </w:pPr>
      <w:r>
        <w:t>1 数据分级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24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43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典型示例</w:t>
            </w:r>
          </w:p>
        </w:tc>
        <w:tc>
          <w:tcPr>
            <w:tcW w:type="dxa" w:w="357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访问与传输要求</w:t>
            </w:r>
          </w:p>
        </w:tc>
        <w:tc>
          <w:tcPr>
            <w:tcW w:type="dxa" w:w="192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默认保留期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公开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官网内容、已发布白皮书、公开职位信息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可公开传播；发布前仍需内容审核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按业务需要</w:t>
            </w:r>
          </w:p>
        </w:tc>
      </w:tr>
      <w:t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一般流程、内部通讯录、培训材料</w:t>
            </w:r>
          </w:p>
        </w:tc>
        <w:tc>
          <w:tcPr>
            <w:tcW w:type="dxa" w:w="357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仅限员工和获批协作方；外发需业务负责人批准</w:t>
            </w:r>
          </w:p>
        </w:tc>
        <w:tc>
          <w:tcPr>
            <w:tcW w:type="dxa" w:w="19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3年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机密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客户合同、未发布财务数据、源代码、漏洞详情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基于角色授权；传输与存储加密；外发需数据所有者批准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合同结束后5年或制度另有规定</w:t>
            </w:r>
          </w:p>
        </w:tc>
      </w:tr>
      <w:t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严格机密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生产密钥、身份证件、银行卡信息、批量个人数据</w:t>
            </w:r>
          </w:p>
        </w:tc>
        <w:tc>
          <w:tcPr>
            <w:tcW w:type="dxa" w:w="357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实名授权、强认证、全程审计；禁止通过普通邮件和公共网盘传输</w:t>
            </w:r>
          </w:p>
        </w:tc>
        <w:tc>
          <w:tcPr>
            <w:tcW w:type="dxa" w:w="19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达到目的后尽快删除，最长依适用要求</w:t>
            </w:r>
          </w:p>
        </w:tc>
      </w:tr>
    </w:tbl>
    <w:p/>
    <w:p>
      <w:pPr>
        <w:pStyle w:val="Heading1"/>
      </w:pPr>
      <w:r>
        <w:t>2 访问控制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访问权限由岗位需要决定，申请须说明系统、权限级别、期限和业务理由。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机密及严格机密数据的访问至少每季度复核一次；离职、转岗或项目结束时应在4小时内撤销不再需要的权限。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管理员账号不得用于日常办公；高权限操作应使用独立账号并保留审计记录。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共享账号原则上禁止。无法避免时，系统负责人必须启用凭据托管、使用审批和操作追踪。</w:t>
      </w:r>
    </w:p>
    <w:p>
      <w:pPr>
        <w:pStyle w:val="Heading1"/>
      </w:pPr>
      <w:r>
        <w:t>3 数据传输与外部服务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机密和严格机密数据传输必须使用公司批准的加密通道。向客户、供应商或其他外部主体提供数据前，应确认合同依据、接收范围、保存期限和删除方式。不得将客户数据、源代码、密钥、未公开合同或个人敏感信息输入未经公司批准的生成式人工智能、翻译、文件转换或在线调试服务。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经批准使用外部人工智能服务时，应优先使用企业账号，关闭模型训练或内容留存选项，并对输入内容执行最小化和脱敏。公开数据可以直接使用；内部数据须经部门负责人批准；机密及严格机密数据原则上禁止输入，确需使用时须经数据所有者和信息安全负责人书面批准。</w:t>
      </w:r>
    </w:p>
    <w:p>
      <w:pPr>
        <w:pStyle w:val="Heading1"/>
      </w:pPr>
      <w:r>
        <w:t>4 终端和凭据安全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725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身份认证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公司核心系统启用多因素认证；密码不得在个人与公司账户间复用。</w:t>
            </w:r>
          </w:p>
        </w:tc>
      </w:tr>
      <w:tr>
        <w:tc>
          <w:tcPr>
            <w:tcW w:type="dxa" w:w="19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终端保护</w:t>
            </w:r>
          </w:p>
        </w:tc>
        <w:tc>
          <w:tcPr>
            <w:tcW w:type="dxa" w:w="725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公司终端启用磁盘加密、自动锁屏和终端检测；禁止擅自关闭安全软件。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密钥管理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API密钥和生产凭据存入批准的密钥系统，不得写入代码、工单或聊天记录。</w:t>
            </w:r>
          </w:p>
        </w:tc>
      </w:tr>
      <w:tr>
        <w:tc>
          <w:tcPr>
            <w:tcW w:type="dxa" w:w="19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补丁更新</w:t>
            </w:r>
          </w:p>
        </w:tc>
        <w:tc>
          <w:tcPr>
            <w:tcW w:type="dxa" w:w="725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互联网暴露系统的严重漏洞原则上72小时内修复，高危漏洞7日内修复。</w:t>
            </w:r>
          </w:p>
        </w:tc>
      </w:tr>
    </w:tbl>
    <w:p/>
    <w:p>
      <w:pPr>
        <w:pStyle w:val="Heading1"/>
      </w:pPr>
      <w:r>
        <w:t>5 安全事件报告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发现账号异常、数据误发、设备遗失、恶意软件、密钥泄露或疑似未授权访问时，应立即停止可能扩大影响的操作，并在30分钟内通过安全热线或事件系统报告。报告应包含发现时间、涉及系统、数据范围、已采取措施和联系人。未经授权不得自行删除日志、联系攻击者或对外发布信息。</w:t>
      </w:r>
    </w:p>
    <w:p>
      <w:pPr>
        <w:pStyle w:val="Heading1"/>
      </w:pPr>
      <w:r>
        <w:t>6 数据删除和介质处置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数据达到保留期限或处理目的结束后，由数据所有者发起删除。生产数据删除应覆盖主存储、可操作副本和已到期备份；无法立即从不可变备份删除的，应限制访问并在备份自然轮换时清除。纸质机密材料使用保密销毁服务，存储介质复用或报废前执行经验证的安全擦除。</w:t>
      </w:r>
    </w:p>
    <w:p>
      <w:pPr>
        <w:pStyle w:val="Heading1"/>
      </w:pPr>
      <w:r>
        <w:t>7 违规处理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违反本制度将根据影响范围、主观过错、补救配合和重复发生情况处理。善意、及时报告自身误操作的人员不会仅因报告行为受到报复，但故意隐瞒、绕过控制或未经授权传播数据将从重处理。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QM-SEC-2026-02  |  </w:t>
    </w:r>
    <w:r>
      <w:rPr>
        <w:rFonts w:ascii="Microsoft YaHei" w:hAnsi="Microsoft YaHei" w:eastAsia="Microsoft YaHei"/>
        <w:b w:val="0"/>
        <w:color w:val="666666"/>
        <w:sz w:val="16"/>
      </w:rPr>
      <w:t xml:space="preserve">第 </w:t>
    </w:r>
    <w:r>
      <w:rPr>
        <w:rFonts w:ascii="Microsoft YaHei" w:hAnsi="Microsoft YaHei" w:eastAsia="Microsoft YaHei"/>
        <w:b w:val="0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启明数字科技有限公司  |  机密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信息安全与数据分级管理制度</dc:title>
  <dc:subject>规章制度</dc:subject>
  <dc:creator>python-docx</dc:creator>
  <cp:keywords>模拟企业文档,RAG测试,启明数字科技</cp:keywords>
  <dc:description>模拟企业文件，仅用于检索增强生成系统的开发、测试与评估，不具有实际管理或法律效力。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