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采购与供应商准入流程手册</w:t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24"/>
        </w:rPr>
        <w:t>启明数字科技有限公司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企业 RAG 测试语料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QM-OPS-2026-05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1.2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归口部门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运营管理部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批准角色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总经理办公会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生效日期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2026年7月1日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复审日期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2027年6月30日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适用范围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公司全体员工及经授权的外部协作人员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密级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内部使用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1"/>
        </w:rPr>
        <w:t>文件说明：</w:t>
      </w:r>
      <w:r>
        <w:rPr>
          <w:rFonts w:ascii="Microsoft YaHei" w:hAnsi="Microsoft YaHei" w:eastAsia="Microsoft YaHei"/>
          <w:b w:val="0"/>
          <w:color w:val="000000"/>
          <w:sz w:val="21"/>
        </w:rPr>
        <w:t>模拟企业文件，仅用于检索增强生成系统的开发、测试与评估，不具有实际管理或法律效力。</w:t>
      </w:r>
    </w:p>
    <w:p>
      <w:pPr>
        <w:jc w:val="both"/>
      </w:pPr>
      <w:r>
        <w:t>本手册说明从采购需求提出、供应商筛选、合同审批到验收付款的操作步骤。流程适用于软件订阅、专业服务、设备和办公物资。任何人不得通过拆单或事后补单规避审批。</w:t>
      </w:r>
    </w:p>
    <w:p>
      <w:pPr>
        <w:pStyle w:val="Heading1"/>
      </w:pPr>
      <w:r>
        <w:t>1 采购分级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预计含税金额</w:t>
            </w:r>
          </w:p>
        </w:tc>
        <w:tc>
          <w:tcPr>
            <w:tcW w:type="dxa" w:w="243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询价要求</w:t>
            </w:r>
          </w:p>
        </w:tc>
        <w:tc>
          <w:tcPr>
            <w:tcW w:type="dxa" w:w="226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批准人</w:t>
            </w:r>
          </w:p>
        </w:tc>
        <w:tc>
          <w:tcPr>
            <w:tcW w:type="dxa" w:w="2551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附加要求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不超过5000元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可直接选购，但需说明价格合理性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成本中心负责人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不得拆单</w:t>
            </w:r>
          </w:p>
        </w:tc>
      </w:tr>
      <w:tr>
        <w:tc>
          <w:tcPr>
            <w:tcW w:type="dxa" w:w="192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5000元以上至50000元</w:t>
            </w:r>
          </w:p>
        </w:tc>
        <w:tc>
          <w:tcPr>
            <w:tcW w:type="dxa" w:w="243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至少2家有效报价</w:t>
            </w:r>
          </w:p>
        </w:tc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部门负责人</w:t>
            </w:r>
          </w:p>
        </w:tc>
        <w:tc>
          <w:tcPr>
            <w:tcW w:type="dxa" w:w="255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形成比价记录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50000元以上至300000元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至少3家有效报价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部门负责人和财务负责人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完成供应商准入</w:t>
            </w:r>
          </w:p>
        </w:tc>
      </w:tr>
      <w:tr>
        <w:tc>
          <w:tcPr>
            <w:tcW w:type="dxa" w:w="192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超过300000元</w:t>
            </w:r>
          </w:p>
        </w:tc>
        <w:tc>
          <w:tcPr>
            <w:tcW w:type="dxa" w:w="243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原则上公开或邀请招标</w:t>
            </w:r>
          </w:p>
        </w:tc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采购评审委员会</w:t>
            </w:r>
          </w:p>
        </w:tc>
        <w:tc>
          <w:tcPr>
            <w:tcW w:type="dxa" w:w="2551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法务及信息安全参与评审</w:t>
            </w:r>
          </w:p>
        </w:tc>
      </w:tr>
    </w:tbl>
    <w:p/>
    <w:p>
      <w:pPr>
        <w:pStyle w:val="Heading1"/>
      </w:pPr>
      <w:r>
        <w:t>2 标准采购流程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需求人提交采购申请，说明业务目的、技术要求、预算、交付日期、成本中心和是否处理公司或客户数据。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运营管理部确认采购类别和询价要求，组织候选供应商收集。需求人不得在批准前向供应商作出采购承诺。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评审人员依据功能、价格、交付、服务、安全和退出成本评分。不得只依据最低价格作出选择。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法务部审核合同条款，信息安全团队审核涉及系统接入、源代码或数据处理的采购。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合同完成签署且采购订单生效后，供应商方可开始交付。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需求人验收交付物，财务部依据合同、订单、验收和发票执行付款。</w:t>
      </w:r>
    </w:p>
    <w:p>
      <w:pPr>
        <w:pStyle w:val="Heading1"/>
      </w:pPr>
      <w:r>
        <w:t>3 供应商准入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26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28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普通供应商</w:t>
            </w:r>
          </w:p>
        </w:tc>
        <w:tc>
          <w:tcPr>
            <w:tcW w:type="dxa" w:w="3628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关键供应商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主体与收款信息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营业信息、收款账户、联系人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同左，并验证实际控制及关联关系</w:t>
            </w:r>
          </w:p>
        </w:tc>
      </w:tr>
      <w:tr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合规与利益冲突</w:t>
            </w:r>
          </w:p>
        </w:tc>
        <w:tc>
          <w:tcPr>
            <w:tcW w:type="dxa" w:w="328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制裁与诚信声明、员工关系披露</w:t>
            </w:r>
          </w:p>
        </w:tc>
        <w:tc>
          <w:tcPr>
            <w:tcW w:type="dxa" w:w="362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同左，并开展增强尽调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信息安全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不接触公司数据时可简化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安全问卷、架构说明、漏洞与事件机制</w:t>
            </w:r>
          </w:p>
        </w:tc>
      </w:tr>
      <w:tr>
        <w:tc>
          <w:tcPr>
            <w:tcW w:type="dxa" w:w="226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业务连续性</w:t>
            </w:r>
          </w:p>
        </w:tc>
        <w:tc>
          <w:tcPr>
            <w:tcW w:type="dxa" w:w="328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交付计划</w:t>
            </w:r>
          </w:p>
        </w:tc>
        <w:tc>
          <w:tcPr>
            <w:tcW w:type="dxa" w:w="3628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恢复目标、替代方案、退出和数据迁移计划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复审频率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每24个月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每12个月或重大变化时</w:t>
            </w:r>
          </w:p>
        </w:tc>
      </w:tr>
    </w:tbl>
    <w:p/>
    <w:p>
      <w:pPr>
        <w:pStyle w:val="Heading2"/>
      </w:pPr>
      <w:r>
        <w:t>3.1 关键供应商定义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满足以下任一条件的供应商视为关键供应商：服务中断会使核心业务超过4小时不可用；处理机密或严格机密数据；年度采购金额超过300000元；提供不可替代的生产基础设施；或者合同退出预计超过30日。</w:t>
      </w:r>
    </w:p>
    <w:p>
      <w:pPr>
        <w:pStyle w:val="Heading1"/>
      </w:pPr>
      <w:r>
        <w:t>4 单一来源例外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只有在专利或独占授权、与现有系统存在不可替代兼容性、突发业务连续性需要，或市场上确无可比替代方案时，才可申请单一来源。申请人须说明原因、价格验证方式、风险和退出方案。金额超过50000元的单一来源采购需部门负责人、运营管理部负责人和财务负责人共同批准。</w:t>
      </w:r>
    </w:p>
    <w:p>
      <w:pPr>
        <w:pStyle w:val="Heading1"/>
      </w:pPr>
      <w:r>
        <w:t>5 验收与付款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实物采购应核对数量、型号、外观和资产编号；软件和服务采购应依据合同验收标准验证功能、权限、文档、数据迁移和培训。首付款超过合同总额30%时，须说明商业必要性并评估履约保障。不得以发票开具代替交付验收。</w:t>
      </w:r>
    </w:p>
    <w:p>
      <w:pPr>
        <w:pStyle w:val="Heading1"/>
      </w:pPr>
      <w:r>
        <w:t>6 变更与续约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合同金额增加超过原合同10%、服务范围发生实质变化、数据处理范围扩大或合同期限延长超过6个月时，应重新履行相应审批。自动续约合同的业务负责人须在续约日前至少30日确认使用情况、预算和退出条件；未确认的，运营管理部有权发起取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 xml:space="preserve">QM-OPS-2026-05  |  </w:t>
    </w:r>
    <w:r>
      <w:rPr>
        <w:rFonts w:ascii="Microsoft YaHei" w:hAnsi="Microsoft YaHei" w:eastAsia="Microsoft YaHei"/>
        <w:b w:val="0"/>
        <w:color w:val="666666"/>
        <w:sz w:val="16"/>
      </w:rPr>
      <w:t xml:space="preserve">第 </w:t>
    </w:r>
    <w:r>
      <w:rPr>
        <w:rFonts w:ascii="Microsoft YaHei" w:hAnsi="Microsoft YaHei" w:eastAsia="Microsoft YaHei"/>
        <w:b w:val="0"/>
        <w:color w:val="666666"/>
        <w:sz w:val="16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>启明数字科技有限公司  |  内部使用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采购与供应商准入流程手册</dc:title>
  <dc:subject>流程手册</dc:subject>
  <dc:creator>python-docx</dc:creator>
  <cp:keywords>模拟企业文档,RAG测试,启明数字科技</cp:keywords>
  <dc:description>模拟企业文件，仅用于检索增强生成系统的开发、测试与评估，不具有实际管理或法律效力。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