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客户项目交付与变更管理流程手册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启明数字科技有限公司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企业 RAG 测试语料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QM-PMO-2026-04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归口部门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项目管理办公室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批准角色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总经理办公会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生效日期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2026年7月1日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复审日期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2027年6月30日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适用范围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公司全体员工及经授权的外部协作人员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密级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内部使用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1"/>
        </w:rPr>
        <w:t>文件说明：</w:t>
      </w:r>
      <w:r>
        <w:rPr>
          <w:rFonts w:ascii="Microsoft YaHei" w:hAnsi="Microsoft YaHei" w:eastAsia="Microsoft YaHei"/>
          <w:b w:val="0"/>
          <w:color w:val="000000"/>
          <w:sz w:val="21"/>
        </w:rPr>
        <w:t>模拟企业文件，仅用于检索增强生成系统的开发、测试与评估，不具有实际管理或法律效力。</w:t>
      </w:r>
    </w:p>
    <w:p>
      <w:pPr>
        <w:jc w:val="both"/>
      </w:pPr>
      <w:r>
        <w:t>本手册用于规范企业软件项目从立项、需求基线、实施、验收到质保移交的全过程。项目经理对进度和证据完整性负责，产品、研发、测试、交付和客户代表按阶段共同确认。</w:t>
      </w:r>
    </w:p>
    <w:p>
      <w:pPr>
        <w:pStyle w:val="Heading1"/>
      </w:pPr>
      <w:r>
        <w:t>1 项目阶段与出口条件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3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7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408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进入下一阶段的条件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立项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项目章程、角色表、初步范围与风险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商务范围与项目目标已确认</w:t>
            </w:r>
          </w:p>
        </w:tc>
      </w:tr>
      <w:tr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</w:t>
            </w:r>
          </w:p>
        </w:tc>
        <w:tc>
          <w:tcPr>
            <w:tcW w:type="dxa" w:w="357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需求规格、原型、需求追踪矩阵</w:t>
            </w:r>
          </w:p>
        </w:tc>
        <w:tc>
          <w:tcPr>
            <w:tcW w:type="dxa" w:w="408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客户代表签署需求基线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设计与实施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技术方案、配置、接口和迁移计划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方案评审通过，环境准备完成</w:t>
            </w:r>
          </w:p>
        </w:tc>
      </w:tr>
      <w:tr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357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测试计划、缺陷清单、测试报告</w:t>
            </w:r>
          </w:p>
        </w:tc>
        <w:tc>
          <w:tcPr>
            <w:tcW w:type="dxa" w:w="408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阻断缺陷清零，其他缺陷有处置计划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用户验收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UAT记录、培训记录、上线确认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客户签署验收或满足默示验收条件</w:t>
            </w:r>
          </w:p>
        </w:tc>
      </w:tr>
      <w:tr>
        <w:tc>
          <w:tcPr>
            <w:tcW w:type="dxa" w:w="153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质保移交</w:t>
            </w:r>
          </w:p>
        </w:tc>
        <w:tc>
          <w:tcPr>
            <w:tcW w:type="dxa" w:w="357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运维手册、账号清单、遗留事项</w:t>
            </w:r>
          </w:p>
        </w:tc>
        <w:tc>
          <w:tcPr>
            <w:tcW w:type="dxa" w:w="408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支持团队接受移交</w:t>
            </w:r>
          </w:p>
        </w:tc>
      </w:tr>
    </w:tbl>
    <w:p/>
    <w:p>
      <w:pPr>
        <w:pStyle w:val="Heading1"/>
      </w:pPr>
      <w:r>
        <w:t>2 需求基线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项目启动后，业务分析人员将合同范围细化为可验证需求。每项需求应包含业务背景、处理规则、角色权限、验收标准和来源。客户通过会议纪要、工单或电子签署确认需求基线后，任何影响范围、费用、交期或验收标准的调整均须进入变更流程。</w:t>
      </w:r>
    </w:p>
    <w:p>
      <w:pPr>
        <w:pStyle w:val="Heading1"/>
      </w:pPr>
      <w:r>
        <w:t>3 变更请求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提出人创建变更请求CR，说明现状、期望、业务原因、紧急程度和期望日期。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项目经理组织产品、技术和测试评估影响，至少覆盖工作量、费用、进度、架构、安全和数据迁移。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不增加费用且不改变里程碑、累计工作量不超过2人日的调整，可由项目经理和客户项目负责人批准。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超过2人日、改变合同范围、影响里程碑或引入新数据类别的变更，须由双方授权代表书面批准。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变更批准后更新计划、需求基线、测试范围和交付清单；未批准的内容不得进入生产。</w:t>
      </w:r>
    </w:p>
    <w:p>
      <w:pPr>
        <w:pStyle w:val="Heading2"/>
      </w:pPr>
      <w:r>
        <w:t>3.1 紧急变更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为恢复P1生产故障或处理正在利用的严重安全漏洞，可以先执行紧急变更。技术负责人和客户指定联系人须在实施前完成最低限度的风险、回退与验证确认；完整记录和补充审批应在恢复后1个工作日内完成。紧急标签不能用于规避正常排期。</w:t>
      </w:r>
    </w:p>
    <w:p>
      <w:pPr>
        <w:pStyle w:val="Heading1"/>
      </w:pPr>
      <w:r>
        <w:t>4 缺陷分级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0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535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判定示例</w:t>
            </w:r>
          </w:p>
        </w:tc>
        <w:tc>
          <w:tcPr>
            <w:tcW w:type="dxa" w:w="3345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处置要求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阻断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核心流程无法继续且无可行替代方案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停止发布；修复并完成回归</w:t>
            </w:r>
          </w:p>
        </w:tc>
      </w:tr>
      <w:tr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严重</w:t>
            </w:r>
          </w:p>
        </w:tc>
        <w:tc>
          <w:tcPr>
            <w:tcW w:type="dxa" w:w="45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重要功能错误、数据结果错误或权限风险，但存在临时方案</w:t>
            </w:r>
          </w:p>
        </w:tc>
        <w:tc>
          <w:tcPr>
            <w:tcW w:type="dxa" w:w="334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原则上上线前解决；延期需双方书面接受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一般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局部功能或体验问题，不影响主要业务完成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纳入修复计划并明确版本</w:t>
            </w:r>
          </w:p>
        </w:tc>
      </w:tr>
      <w:tr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建议</w:t>
            </w:r>
          </w:p>
        </w:tc>
        <w:tc>
          <w:tcPr>
            <w:tcW w:type="dxa" w:w="45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体验优化或新增需求</w:t>
            </w:r>
          </w:p>
        </w:tc>
        <w:tc>
          <w:tcPr>
            <w:tcW w:type="dxa" w:w="334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转入产品需求池，不作为缺陷阻止验收</w:t>
            </w:r>
          </w:p>
        </w:tc>
      </w:tr>
    </w:tbl>
    <w:p/>
    <w:p>
      <w:pPr>
        <w:pStyle w:val="Heading1"/>
      </w:pPr>
      <w:r>
        <w:t>5 验收规则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客户应在收到可验收版本和完整验收材料后10个工作日内完成验收并一次性反馈不符合项。反馈应关联已确认的验收标准。客户未在期限内反馈且系统已投入生产连续运行5个工作日的，项目团队可以依据合同主张默示验收，但仍需完成内部交付审查。</w:t>
      </w:r>
    </w:p>
    <w:p>
      <w:pPr>
        <w:pStyle w:val="Heading1"/>
      </w:pPr>
      <w:r>
        <w:t>6 上线与回退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上线方案须包含时间窗口、操作人、备份点、监控项、验证脚本、通知对象和回退条件。上线后30分钟内完成核心业务冒烟验证。出现数据破坏、核心指标连续10分钟异常或无法在计划窗口内完成验证时，由上线负责人决定回退并启动事件流程。</w:t>
      </w:r>
    </w:p>
    <w:p>
      <w:pPr>
        <w:pStyle w:val="Heading1"/>
      </w:pPr>
      <w:r>
        <w:t>7 质保与关闭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除合同另有约定，项目质保期为最终验收后90日。质保仅覆盖已交付范围内的缺陷，不包含新增需求、第三方服务变化或客户未经批准的环境修改。项目关闭前应确认遗留事项负责人、文档归档位置、账号移交、数据删除安排和经验复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QM-PMO-2026-04  |  </w:t>
    </w:r>
    <w:r>
      <w:rPr>
        <w:rFonts w:ascii="Microsoft YaHei" w:hAnsi="Microsoft YaHei" w:eastAsia="Microsoft YaHei"/>
        <w:b w:val="0"/>
        <w:color w:val="666666"/>
        <w:sz w:val="16"/>
      </w:rPr>
      <w:t xml:space="preserve">第 </w:t>
    </w:r>
    <w:r>
      <w:rPr>
        <w:rFonts w:ascii="Microsoft YaHei" w:hAnsi="Microsoft YaHei" w:eastAsia="Microsoft YaHei"/>
        <w:b w:val="0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启明数字科技有限公司  |  内部使用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客户项目交付与变更管理流程手册</dc:title>
  <dc:subject>流程手册</dc:subject>
  <dc:creator>python-docx</dc:creator>
  <cp:keywords>模拟企业文档,RAG测试,启明数字科技</cp:keywords>
  <dc:description>模拟企业文件，仅用于检索增强生成系统的开发、测试与评估，不具有实际管理或法律效力。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