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开放平台 API 接入与故障处理技术手册</w:t>
      </w:r>
    </w:p>
    <w:p>
      <w:pPr>
        <w:jc w:val="center"/>
      </w:pPr>
      <w:r>
        <w:rPr>
          <w:rFonts w:ascii="Microsoft YaHei" w:hAnsi="Microsoft YaHei" w:eastAsia="Microsoft YaHei"/>
          <w:b/>
          <w:color w:val="000000"/>
          <w:sz w:val="24"/>
        </w:rPr>
        <w:t>启明数字科技有限公司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6666"/>
          <w:sz w:val="20"/>
        </w:rPr>
        <w:t>企业 RAG 测试语料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QM-TECH-2026-07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1.6</w:t>
            </w:r>
          </w:p>
        </w:tc>
      </w:tr>
      <w:tr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归口部门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平台研发部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批准角色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总经理办公会</w:t>
            </w:r>
          </w:p>
        </w:tc>
      </w:tr>
      <w:tr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生效日期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2026年7月1日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复审日期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2027年6月30日</w:t>
            </w:r>
          </w:p>
        </w:tc>
      </w:tr>
      <w:tr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适用范围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客户研发人员、实施工程师和技术支持人员</w:t>
            </w:r>
          </w:p>
        </w:tc>
        <w:tc>
          <w:tcPr>
            <w:tcW w:type="dxa" w:w="13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DCE6F1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8"/>
              </w:rPr>
              <w:t>密级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内部使用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000000"/>
          <w:sz w:val="21"/>
        </w:rPr>
        <w:t>文件说明：</w:t>
      </w:r>
      <w:r>
        <w:rPr>
          <w:rFonts w:ascii="Microsoft YaHei" w:hAnsi="Microsoft YaHei" w:eastAsia="Microsoft YaHei"/>
          <w:b w:val="0"/>
          <w:color w:val="000000"/>
          <w:sz w:val="21"/>
        </w:rPr>
        <w:t>模拟企业文件，仅用于检索增强生成系统的开发、测试与评估，不具有实际管理或法律效力。</w:t>
      </w:r>
    </w:p>
    <w:p>
      <w:pPr>
        <w:jc w:val="both"/>
      </w:pPr>
      <w:r>
        <w:t>本手册说明启明开放平台的认证、请求规范、幂等、限流、错误处理和生产故障协作方式。示例中的地址、密钥和业务数据均为虚构，接入方应以实际环境控制台显示的信息为准。</w:t>
      </w:r>
    </w:p>
    <w:p>
      <w:pPr>
        <w:pStyle w:val="Heading1"/>
      </w:pPr>
      <w:r>
        <w:t>1 环境与认证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17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环境</w:t>
            </w:r>
          </w:p>
        </w:tc>
        <w:tc>
          <w:tcPr>
            <w:tcW w:type="dxa" w:w="3515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基础地址</w:t>
            </w:r>
          </w:p>
        </w:tc>
        <w:tc>
          <w:tcPr>
            <w:tcW w:type="dxa" w:w="209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154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数据要求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沙箱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https://sandbox-api.example.invalid/v1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开发联调与自动化测试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只能使用模拟或脱敏数据</w:t>
            </w:r>
          </w:p>
        </w:tc>
      </w:tr>
      <w:tr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生产</w:t>
            </w:r>
          </w:p>
        </w:tc>
        <w:tc>
          <w:tcPr>
            <w:tcW w:type="dxa" w:w="351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https://api.example.invalid/v1</w:t>
            </w:r>
          </w:p>
        </w:tc>
        <w:tc>
          <w:tcPr>
            <w:tcW w:type="dxa" w:w="20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正式业务调用</w:t>
            </w:r>
          </w:p>
        </w:tc>
        <w:tc>
          <w:tcPr>
            <w:tcW w:type="dxa" w:w="215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须完成应用审核和来源限制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服务端应用使用OAuth 2.0客户端凭据模式获取访问令牌。令牌默认有效期为3600秒，客户端应在到期前5分钟刷新，并缓存复用。client_secret属于严格机密数据，只能存储在密钥管理系统中，不得写入前端、移动应用、源代码仓库或日志。</w:t>
      </w:r>
    </w:p>
    <w:p>
      <w:pPr>
        <w:pStyle w:val="Heading2"/>
      </w:pPr>
      <w:r>
        <w:t>1.1 请求头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请求头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是否必需</w:t>
            </w:r>
          </w:p>
        </w:tc>
        <w:tc>
          <w:tcPr>
            <w:tcW w:type="dxa" w:w="5216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Authorization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52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Bearer访问令牌</w:t>
            </w:r>
          </w:p>
        </w:tc>
      </w:tr>
      <w:tr>
        <w:tc>
          <w:tcPr>
            <w:tcW w:type="dxa" w:w="226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X-Request-Id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建议</w:t>
            </w:r>
          </w:p>
        </w:tc>
        <w:tc>
          <w:tcPr>
            <w:tcW w:type="dxa" w:w="521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调用方生成的唯一请求标识，用于链路排查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Idempotency-Key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写操作必需</w:t>
            </w:r>
          </w:p>
        </w:tc>
        <w:tc>
          <w:tcPr>
            <w:tcW w:type="dxa" w:w="52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同一业务操作重试时保持不变，有效期24小时</w:t>
            </w:r>
          </w:p>
        </w:tc>
      </w:tr>
      <w:tr>
        <w:tc>
          <w:tcPr>
            <w:tcW w:type="dxa" w:w="226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Content-Type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521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application/json; charset=utf-8</w:t>
            </w:r>
          </w:p>
        </w:tc>
      </w:tr>
    </w:tbl>
    <w:p/>
    <w:p>
      <w:pPr>
        <w:pStyle w:val="Heading1"/>
      </w:pPr>
      <w:r>
        <w:t>2 幂等与重试</w:t>
      </w:r>
    </w:p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创建订单、发起付款和提交审批等写操作必须提供Idempotency-Key。平台以租户、接口和幂等键共同识别重复请求；请求体不同但复用同一幂等键时返回409。调用方只应对网络错误、429、502、503和504进行自动重试，采用带随机抖动的指数退避，建议等待1秒、2秒、4秒，最多3次。400、401、403、404和业务校验失败不得盲目重试。</w:t>
      </w:r>
    </w:p>
    <w:p>
      <w:pPr>
        <w:pStyle w:val="Heading1"/>
      </w:pPr>
      <w:r>
        <w:t>3 限流</w:t>
      </w:r>
    </w:p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默认每个租户每个应用每分钟允许120次请求，突发容量为30。批量查询接口单次最多100条记录。响应头X-RateLimit-Limit、X-RateLimit-Remaining和X-RateLimit-Reset用于展示当前窗口状态。收到429时应遵循Retry-After，不得通过创建多个应用规避限流。合同或控制台标明的专属额度优先于本手册默认值。</w:t>
      </w:r>
    </w:p>
    <w:p>
      <w:pPr>
        <w:pStyle w:val="Heading1"/>
      </w:pPr>
      <w:r>
        <w:t>4 错误模型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587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代码</w:t>
            </w:r>
          </w:p>
        </w:tc>
        <w:tc>
          <w:tcPr>
            <w:tcW w:type="dxa" w:w="1417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HTTP状态</w:t>
            </w:r>
          </w:p>
        </w:tc>
        <w:tc>
          <w:tcPr>
            <w:tcW w:type="dxa" w:w="2891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28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处理建议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AUTH-001</w:t>
            </w:r>
          </w:p>
        </w:tc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401</w:t>
            </w:r>
          </w:p>
        </w:tc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令牌无效或已过期</w:t>
            </w:r>
          </w:p>
        </w:tc>
        <w:tc>
          <w:tcPr>
            <w:tcW w:type="dxa" w:w="32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刷新令牌后仅重试一次</w:t>
            </w:r>
          </w:p>
        </w:tc>
      </w:tr>
      <w:tr>
        <w:tc>
          <w:tcPr>
            <w:tcW w:type="dxa" w:w="15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AUTH-003</w:t>
            </w:r>
          </w:p>
        </w:tc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403</w:t>
            </w:r>
          </w:p>
        </w:tc>
        <w:tc>
          <w:tcPr>
            <w:tcW w:type="dxa" w:w="289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应用无资源权限</w:t>
            </w:r>
          </w:p>
        </w:tc>
        <w:tc>
          <w:tcPr>
            <w:tcW w:type="dxa" w:w="328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检查授权范围，不要自动重试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REQ-009</w:t>
            </w:r>
          </w:p>
        </w:tc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400</w:t>
            </w:r>
          </w:p>
        </w:tc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请求字段校验失败</w:t>
            </w:r>
          </w:p>
        </w:tc>
        <w:tc>
          <w:tcPr>
            <w:tcW w:type="dxa" w:w="32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根据field_errors修正请求</w:t>
            </w:r>
          </w:p>
        </w:tc>
      </w:tr>
      <w:tr>
        <w:tc>
          <w:tcPr>
            <w:tcW w:type="dxa" w:w="15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IDEM-002</w:t>
            </w:r>
          </w:p>
        </w:tc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409</w:t>
            </w:r>
          </w:p>
        </w:tc>
        <w:tc>
          <w:tcPr>
            <w:tcW w:type="dxa" w:w="289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幂等键与原请求内容不一致</w:t>
            </w:r>
          </w:p>
        </w:tc>
        <w:tc>
          <w:tcPr>
            <w:tcW w:type="dxa" w:w="328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生成新键或恢复原请求体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RATE-001</w:t>
            </w:r>
          </w:p>
        </w:tc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429</w:t>
            </w:r>
          </w:p>
        </w:tc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超过调用额度</w:t>
            </w:r>
          </w:p>
        </w:tc>
        <w:tc>
          <w:tcPr>
            <w:tcW w:type="dxa" w:w="32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按照Retry-After退避</w:t>
            </w:r>
          </w:p>
        </w:tc>
      </w:tr>
      <w:tr>
        <w:tc>
          <w:tcPr>
            <w:tcW w:type="dxa" w:w="15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SYS-500</w:t>
            </w:r>
          </w:p>
        </w:tc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503</w:t>
            </w:r>
          </w:p>
        </w:tc>
        <w:tc>
          <w:tcPr>
            <w:tcW w:type="dxa" w:w="289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服务暂时不可用</w:t>
            </w:r>
          </w:p>
        </w:tc>
        <w:tc>
          <w:tcPr>
            <w:tcW w:type="dxa" w:w="328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指数退避；超过3次转人工处理</w:t>
            </w:r>
          </w:p>
        </w:tc>
      </w:tr>
    </w:tbl>
    <w:p/>
    <w:p>
      <w:pPr>
        <w:pStyle w:val="Heading1"/>
      </w:pPr>
      <w:r>
        <w:t>5 Webhook</w:t>
      </w:r>
    </w:p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Webhook使用HMAC-SHA256签名。接收方应使用原始请求体、时间戳和Webhook密钥验证X-QM-Signature，并拒绝时间戳与本地时间相差超过5分钟的请求。平台在未收到2xx响应时重试，最长持续24小时。接收方必须根据event_id去重，并在5秒内返回；耗时业务应进入异步队列。</w:t>
      </w:r>
    </w:p>
    <w:p>
      <w:pPr>
        <w:pStyle w:val="Heading1"/>
      </w:pPr>
      <w:r>
        <w:t>6 生产故障协作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134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3515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  <w:tc>
          <w:tcPr>
            <w:tcW w:type="dxa" w:w="209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首次响应目标</w:t>
            </w:r>
          </w:p>
        </w:tc>
        <w:tc>
          <w:tcPr>
            <w:tcW w:type="dxa" w:w="243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更新频率</w:t>
            </w:r>
          </w:p>
        </w:tc>
      </w:tr>
      <w:tr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生产核心接口大面积不可用、数据完整性风险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15分钟</w:t>
            </w:r>
          </w:p>
        </w:tc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每30分钟</w:t>
            </w:r>
          </w:p>
        </w:tc>
      </w:tr>
      <w:tr>
        <w:tc>
          <w:tcPr>
            <w:tcW w:type="dxa" w:w="113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351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主要功能降级但存在替代方案</w:t>
            </w:r>
          </w:p>
        </w:tc>
        <w:tc>
          <w:tcPr>
            <w:tcW w:type="dxa" w:w="20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1小时</w:t>
            </w:r>
          </w:p>
        </w:tc>
        <w:tc>
          <w:tcPr>
            <w:tcW w:type="dxa" w:w="243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每2小时</w:t>
            </w:r>
          </w:p>
        </w:tc>
      </w:tr>
      <w:tr>
        <w:tc>
          <w:tcPr>
            <w:tcW w:type="dxa" w:w="113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351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局部问题或一般缺陷</w:t>
            </w:r>
          </w:p>
        </w:tc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1个工作日</w:t>
            </w:r>
          </w:p>
        </w:tc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状态变化时</w:t>
            </w:r>
          </w:p>
        </w:tc>
      </w:tr>
      <w:tr>
        <w:tc>
          <w:tcPr>
            <w:tcW w:type="dxa" w:w="113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P4</w:t>
            </w:r>
          </w:p>
        </w:tc>
        <w:tc>
          <w:tcPr>
            <w:tcW w:type="dxa" w:w="351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咨询、优化建议</w:t>
            </w:r>
          </w:p>
        </w:tc>
        <w:tc>
          <w:tcPr>
            <w:tcW w:type="dxa" w:w="20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2个工作日</w:t>
            </w:r>
          </w:p>
        </w:tc>
        <w:tc>
          <w:tcPr>
            <w:tcW w:type="dxa" w:w="243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按工单计划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提交故障时应提供租户编号、环境、时间范围、X-Request-Id、接口路径、状态码、经过脱敏的请求摘要和已采取措施。不得在工单中提交访问令牌、client_secret、完整身份证件或银行卡信息。P1事件恢复后，公司在5个工作日内提供初步复盘摘要；根因复杂时可先提供阶段性结论。</w:t>
      </w:r>
    </w:p>
    <w:p>
      <w:pPr>
        <w:pStyle w:val="Heading1"/>
      </w:pPr>
      <w:r>
        <w:t>7 版本与兼容性</w:t>
      </w:r>
    </w:p>
    <w:p>
      <w:pPr>
        <w:jc w:val="both"/>
      </w:pPr>
      <w:r>
        <w:rPr>
          <w:rFonts w:ascii="Microsoft YaHei" w:hAnsi="Microsoft YaHei" w:eastAsia="Microsoft YaHei"/>
          <w:b w:val="0"/>
          <w:color w:val="000000"/>
          <w:sz w:val="21"/>
        </w:rPr>
        <w:t>API主版本通过路径标识。新增可选字段通常不视为破坏性变更，客户端应忽略未知字段。字段删除、类型变化或语义不兼容会进入新主版本。旧主版本计划停止服务时，公司原则上提前180日通知；安全或法律要求导致的紧急变更除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628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平台动作</w:t>
            </w:r>
          </w:p>
        </w:tc>
        <w:tc>
          <w:tcPr>
            <w:tcW w:type="dxa" w:w="3855"/>
            <w:vAlign w:val="center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接入方动作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在用</w:t>
            </w:r>
          </w:p>
        </w:tc>
        <w:tc>
          <w:tcPr>
            <w:tcW w:type="dxa" w:w="36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持续发布兼容性更新和安全修复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监控公告并保持客户端测试</w:t>
            </w:r>
          </w:p>
        </w:tc>
      </w:tr>
      <w:tr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停止新增</w:t>
            </w:r>
          </w:p>
        </w:tc>
        <w:tc>
          <w:tcPr>
            <w:tcW w:type="dxa" w:w="362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不再增加功能，继续提供关键修复</w:t>
            </w:r>
          </w:p>
        </w:tc>
        <w:tc>
          <w:tcPr>
            <w:tcW w:type="dxa" w:w="385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完成新主版本差异评估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弃用期</w:t>
            </w:r>
          </w:p>
        </w:tc>
        <w:tc>
          <w:tcPr>
            <w:tcW w:type="dxa" w:w="36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发布迁移指南和停服日期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在测试环境完成迁移及回归</w:t>
            </w:r>
          </w:p>
        </w:tc>
      </w:tr>
      <w:tr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停止服务</w:t>
            </w:r>
          </w:p>
        </w:tc>
        <w:tc>
          <w:tcPr>
            <w:tcW w:type="dxa" w:w="362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关闭旧版本入口并保留必要审计记录</w:t>
            </w:r>
          </w:p>
        </w:tc>
        <w:tc>
          <w:tcPr>
            <w:tcW w:type="dxa" w:w="385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生产流量应已全部切换</w:t>
            </w:r>
          </w:p>
        </w:tc>
      </w:tr>
    </w:tbl>
    <w:p/>
    <w:p>
      <w:pPr>
        <w:pStyle w:val="Heading2"/>
      </w:pPr>
      <w:r>
        <w:t>7.1 客户端兼容建议</w:t>
      </w:r>
    </w:p>
    <w:p>
      <w:pPr>
        <w:pStyle w:val="ListBullet"/>
        <w:spacing w:after="60"/>
        <w:ind w:left="340" w:hanging="142"/>
      </w:pPr>
      <w:r>
        <w:rPr>
          <w:rFonts w:ascii="Microsoft YaHei" w:hAnsi="Microsoft YaHei" w:eastAsia="Microsoft YaHei"/>
          <w:b w:val="0"/>
          <w:color w:val="000000"/>
          <w:sz w:val="21"/>
        </w:rPr>
        <w:t>忽略响应中的未知可选字段，不依赖JSON字段顺序。</w:t>
      </w:r>
    </w:p>
    <w:p>
      <w:pPr>
        <w:pStyle w:val="ListBullet"/>
        <w:spacing w:after="60"/>
        <w:ind w:left="340" w:hanging="142"/>
      </w:pPr>
      <w:r>
        <w:rPr>
          <w:rFonts w:ascii="Microsoft YaHei" w:hAnsi="Microsoft YaHei" w:eastAsia="Microsoft YaHei"/>
          <w:b w:val="0"/>
          <w:color w:val="000000"/>
          <w:sz w:val="21"/>
        </w:rPr>
        <w:t>为错误代码保留兜底分支，不把错误消息文本作为程序判断条件。</w:t>
      </w:r>
    </w:p>
    <w:p>
      <w:pPr>
        <w:pStyle w:val="ListBullet"/>
        <w:spacing w:after="60"/>
        <w:ind w:left="340" w:hanging="142"/>
      </w:pPr>
      <w:r>
        <w:rPr>
          <w:rFonts w:ascii="Microsoft YaHei" w:hAnsi="Microsoft YaHei" w:eastAsia="Microsoft YaHei"/>
          <w:b w:val="0"/>
          <w:color w:val="000000"/>
          <w:sz w:val="21"/>
        </w:rPr>
        <w:t>在沙箱环境执行契约测试，并在生产发布前验证认证、幂等、限流和Webhook。</w:t>
      </w:r>
    </w:p>
    <w:p>
      <w:pPr>
        <w:pStyle w:val="ListBullet"/>
        <w:spacing w:after="60"/>
        <w:ind w:left="340" w:hanging="142"/>
      </w:pPr>
      <w:r>
        <w:rPr>
          <w:rFonts w:ascii="Microsoft YaHei" w:hAnsi="Microsoft YaHei" w:eastAsia="Microsoft YaHei"/>
          <w:b w:val="0"/>
          <w:color w:val="000000"/>
          <w:sz w:val="21"/>
        </w:rPr>
        <w:t>记录正在使用的API主版本、SDK版本和负责人，收到弃用通知后进入变更管理。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6"/>
      </w:rPr>
      <w:t xml:space="preserve">QM-TECH-2026-07  |  </w:t>
    </w:r>
    <w:r>
      <w:rPr>
        <w:rFonts w:ascii="Microsoft YaHei" w:hAnsi="Microsoft YaHei" w:eastAsia="Microsoft YaHei"/>
        <w:b w:val="0"/>
        <w:color w:val="666666"/>
        <w:sz w:val="16"/>
      </w:rPr>
      <w:t xml:space="preserve">第 </w:t>
    </w:r>
    <w:r>
      <w:rPr>
        <w:rFonts w:ascii="Microsoft YaHei" w:hAnsi="Microsoft YaHei" w:eastAsia="Microsoft YaHei"/>
        <w:b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66666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7"/>
      </w:rPr>
      <w:t>启明数字科技有限公司  |  内部使用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开放平台 API 接入与故障处理技术手册</dc:title>
  <dc:subject>技术文档</dc:subject>
  <dc:creator>python-docx</dc:creator>
  <cp:keywords>模拟企业文档,RAG测试,启明数字科技</cp:keywords>
  <dc:description>模拟企业文件，仅用于检索增强生成系统的开发、测试与评估，不具有实际管理或法律效力。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