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云服务订阅与数据处理合同示范文本</w:t>
      </w:r>
    </w:p>
    <w:p>
      <w:pPr>
        <w:jc w:val="center"/>
      </w:pPr>
      <w:r>
        <w:rPr>
          <w:rFonts w:ascii="Microsoft YaHei" w:hAnsi="Microsoft YaHei" w:eastAsia="Microsoft YaHei"/>
          <w:b/>
          <w:color w:val="000000"/>
          <w:sz w:val="24"/>
        </w:rPr>
        <w:t>启明数字科技有限公司</w:t>
      </w:r>
    </w:p>
    <w:p>
      <w:pPr>
        <w:jc w:val="center"/>
      </w:pPr>
      <w:r>
        <w:rPr>
          <w:rFonts w:ascii="Microsoft YaHei" w:hAnsi="Microsoft YaHei" w:eastAsia="Microsoft YaHei"/>
          <w:b w:val="0"/>
          <w:color w:val="666666"/>
          <w:sz w:val="20"/>
        </w:rPr>
        <w:t>企业 RAG 测试语料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53"/>
        <w:gridCol w:w="2353"/>
        <w:gridCol w:w="2353"/>
        <w:gridCol w:w="2353"/>
      </w:tblGrid>
      <w:tr>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文档编号</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QM-LEG-2026-06</w:t>
            </w:r>
          </w:p>
        </w:tc>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版本</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1.0</w:t>
            </w:r>
          </w:p>
        </w:tc>
      </w:tr>
      <w:tr>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归口部门</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法务与合规部</w:t>
            </w:r>
          </w:p>
        </w:tc>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批准角色</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法务负责人</w:t>
            </w:r>
          </w:p>
        </w:tc>
      </w:tr>
      <w:tr>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生效日期</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2026年7月1日</w:t>
            </w:r>
          </w:p>
        </w:tc>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复审日期</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2027年6月30日</w:t>
            </w:r>
          </w:p>
        </w:tc>
      </w:tr>
      <w:tr>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适用范围</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启明数字科技有限公司及签约客户</w:t>
            </w:r>
          </w:p>
        </w:tc>
        <w:tc>
          <w:tcPr>
            <w:tcW w:type="dxa" w:w="1361"/>
            <w:vAlign w:val="center"/>
            <w:tcMar>
              <w:top w:w="100" w:type="dxa"/>
              <w:start w:w="120" w:type="dxa"/>
              <w:bottom w:w="100" w:type="dxa"/>
              <w:end w:w="120" w:type="dxa"/>
            </w:tcMar>
            <w:shd w:fill="DCE6F1"/>
          </w:tcPr>
          <w:p>
            <w:pPr>
              <w:jc w:val="center"/>
            </w:pPr>
            <w:r>
              <w:rPr>
                <w:rFonts w:ascii="Microsoft YaHei" w:hAnsi="Microsoft YaHei" w:eastAsia="Microsoft YaHei"/>
                <w:b/>
                <w:color w:val="000000"/>
                <w:sz w:val="18"/>
              </w:rPr>
              <w:t>密级</w:t>
            </w:r>
          </w:p>
        </w:tc>
        <w:tc>
          <w:tcPr>
            <w:tcW w:type="dxa" w:w="3005"/>
            <w:vAlign w:val="center"/>
            <w:tcMar>
              <w:top w:w="100" w:type="dxa"/>
              <w:start w:w="120" w:type="dxa"/>
              <w:bottom w:w="100" w:type="dxa"/>
              <w:end w:w="120" w:type="dxa"/>
            </w:tcMar>
          </w:tcPr>
          <w:p>
            <w:pPr>
              <w:jc w:val="left"/>
            </w:pPr>
            <w:r>
              <w:rPr>
                <w:rFonts w:ascii="Microsoft YaHei" w:hAnsi="Microsoft YaHei" w:eastAsia="Microsoft YaHei"/>
                <w:b w:val="0"/>
                <w:color w:val="000000"/>
                <w:sz w:val="18"/>
              </w:rPr>
              <w:t>机密</w:t>
            </w:r>
          </w:p>
        </w:tc>
      </w:tr>
    </w:tbl>
    <w:p/>
    <w:p>
      <w:r>
        <w:rPr>
          <w:rFonts w:ascii="Microsoft YaHei" w:hAnsi="Microsoft YaHei" w:eastAsia="Microsoft YaHei"/>
          <w:b/>
          <w:color w:val="000000"/>
          <w:sz w:val="21"/>
        </w:rPr>
        <w:t>文件说明：</w:t>
      </w:r>
      <w:r>
        <w:rPr>
          <w:rFonts w:ascii="Microsoft YaHei" w:hAnsi="Microsoft YaHei" w:eastAsia="Microsoft YaHei"/>
          <w:b w:val="0"/>
          <w:color w:val="000000"/>
          <w:sz w:val="21"/>
        </w:rPr>
        <w:t>模拟企业文件，仅用于检索增强生成系统的开发、测试与评估，不具有实际管理或法律效力。</w:t>
      </w:r>
    </w:p>
    <w:p>
      <w:pPr>
        <w:jc w:val="both"/>
      </w:pPr>
      <w:r>
        <w:t>本示范文本规定云服务订阅、支持服务、数据处理、安全事件、费用和终止安排。具体交易以双方签署的订单及特别条款为准；订单与本合同不一致时，订单仅在明确指出替代条款的范围内优先。</w:t>
      </w:r>
    </w:p>
    <w:p>
      <w:pPr>
        <w:pStyle w:val="Heading1"/>
      </w:pPr>
      <w:r>
        <w:t>1 合同主体与定义</w:t>
      </w:r>
    </w:p>
    <w:p>
      <w:pPr>
        <w:jc w:val="both"/>
      </w:pPr>
      <w:r>
        <w:rPr>
          <w:rFonts w:ascii="Microsoft YaHei" w:hAnsi="Microsoft YaHei" w:eastAsia="Microsoft YaHei"/>
          <w:b w:val="0"/>
          <w:color w:val="000000"/>
          <w:sz w:val="21"/>
        </w:rPr>
        <w:t>甲方为购买服务的客户，乙方为启明数字科技有限公司。服务是指订单中列明的云软件、开放接口、支持和相关文档。客户数据是甲方或其授权用户提交、存储或通过服务处理的数据，不包括乙方独立生成且不识别甲方或个人的汇总统计。</w:t>
      </w:r>
    </w:p>
    <w:p>
      <w:pPr>
        <w:pStyle w:val="Heading1"/>
      </w:pPr>
      <w:r>
        <w:t>2 服务订阅与使用限制</w:t>
      </w:r>
    </w:p>
    <w:p>
      <w:pPr>
        <w:pStyle w:val="ListBullet"/>
        <w:spacing w:after="60"/>
        <w:ind w:left="340" w:hanging="142"/>
      </w:pPr>
      <w:r>
        <w:rPr>
          <w:rFonts w:ascii="Microsoft YaHei" w:hAnsi="Microsoft YaHei" w:eastAsia="Microsoft YaHei"/>
          <w:b w:val="0"/>
          <w:color w:val="000000"/>
          <w:sz w:val="21"/>
        </w:rPr>
        <w:t>订阅期限、用户数、环境、功能模块和价格以订单为准。甲方仅可为自身内部业务目的使用服务。</w:t>
      </w:r>
    </w:p>
    <w:p>
      <w:pPr>
        <w:pStyle w:val="ListBullet"/>
        <w:spacing w:after="60"/>
        <w:ind w:left="340" w:hanging="142"/>
      </w:pPr>
      <w:r>
        <w:rPr>
          <w:rFonts w:ascii="Microsoft YaHei" w:hAnsi="Microsoft YaHei" w:eastAsia="Microsoft YaHei"/>
          <w:b w:val="0"/>
          <w:color w:val="000000"/>
          <w:sz w:val="21"/>
        </w:rPr>
        <w:t>甲方不得转售服务、绕过技术限制、进行未经授权的安全测试、利用服务传播恶意代码，或侵犯他人权益。</w:t>
      </w:r>
    </w:p>
    <w:p>
      <w:pPr>
        <w:pStyle w:val="ListBullet"/>
        <w:spacing w:after="60"/>
        <w:ind w:left="340" w:hanging="142"/>
      </w:pPr>
      <w:r>
        <w:rPr>
          <w:rFonts w:ascii="Microsoft YaHei" w:hAnsi="Microsoft YaHei" w:eastAsia="Microsoft YaHei"/>
          <w:b w:val="0"/>
          <w:color w:val="000000"/>
          <w:sz w:val="21"/>
        </w:rPr>
        <w:t>甲方负责其账号、管理员配置、授权用户行为和合法的数据来源，并应及时撤销离职或不再需要访问的用户。</w:t>
      </w:r>
    </w:p>
    <w:p>
      <w:pPr>
        <w:pStyle w:val="ListBullet"/>
        <w:spacing w:after="60"/>
        <w:ind w:left="340" w:hanging="142"/>
      </w:pPr>
      <w:r>
        <w:rPr>
          <w:rFonts w:ascii="Microsoft YaHei" w:hAnsi="Microsoft YaHei" w:eastAsia="Microsoft YaHei"/>
          <w:b w:val="0"/>
          <w:color w:val="000000"/>
          <w:sz w:val="21"/>
        </w:rPr>
        <w:t>测试环境不得处理真实的严格机密数据；乙方可在提前通知后清理长期未使用的测试数据。</w:t>
      </w:r>
    </w:p>
    <w:p>
      <w:pPr>
        <w:pStyle w:val="Heading1"/>
      </w:pPr>
      <w:r>
        <w:t>3 服务可用性与支持</w:t>
      </w:r>
    </w:p>
    <w:p>
      <w:pPr>
        <w:jc w:val="both"/>
      </w:pPr>
      <w:r>
        <w:rPr>
          <w:rFonts w:ascii="Microsoft YaHei" w:hAnsi="Microsoft YaHei" w:eastAsia="Microsoft YaHei"/>
          <w:b w:val="0"/>
          <w:color w:val="000000"/>
          <w:sz w:val="21"/>
        </w:rPr>
        <w:t>乙方承诺生产服务月度可用性不低于99.9%。计划维护在至少48小时前通知且每月累计不超过4小时的，不计入不可用时间；因甲方系统、第三方网络、不可抗力、甲方违反使用要求或经甲方批准的紧急维护导致的不可用亦不计入。</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2948"/>
            <w:vAlign w:val="center"/>
            <w:shd w:fill="1F4E78"/>
            <w:tcMar>
              <w:top w:w="110" w:type="dxa"/>
              <w:start w:w="120" w:type="dxa"/>
              <w:bottom w:w="110" w:type="dxa"/>
              <w:end w:w="120" w:type="dxa"/>
            </w:tcMar>
          </w:tcPr>
          <w:p>
            <w:pPr>
              <w:jc w:val="center"/>
            </w:pPr>
            <w:r>
              <w:rPr>
                <w:rFonts w:ascii="Microsoft YaHei" w:hAnsi="Microsoft YaHei" w:eastAsia="Microsoft YaHei"/>
                <w:b/>
                <w:color w:val="FFFFFF"/>
                <w:sz w:val="18"/>
              </w:rPr>
              <w:t>月度可用性</w:t>
            </w:r>
          </w:p>
        </w:tc>
        <w:tc>
          <w:tcPr>
            <w:tcW w:type="dxa" w:w="2835"/>
            <w:vAlign w:val="center"/>
            <w:shd w:fill="1F4E78"/>
            <w:tcMar>
              <w:top w:w="110" w:type="dxa"/>
              <w:start w:w="120" w:type="dxa"/>
              <w:bottom w:w="110" w:type="dxa"/>
              <w:end w:w="120" w:type="dxa"/>
            </w:tcMar>
          </w:tcPr>
          <w:p>
            <w:pPr>
              <w:jc w:val="center"/>
            </w:pPr>
            <w:r>
              <w:rPr>
                <w:rFonts w:ascii="Microsoft YaHei" w:hAnsi="Microsoft YaHei" w:eastAsia="Microsoft YaHei"/>
                <w:b/>
                <w:color w:val="FFFFFF"/>
                <w:sz w:val="18"/>
              </w:rPr>
              <w:t>服务抵扣比例</w:t>
            </w:r>
          </w:p>
        </w:tc>
        <w:tc>
          <w:tcPr>
            <w:tcW w:type="dxa" w:w="3402"/>
            <w:vAlign w:val="center"/>
            <w:shd w:fill="1F4E78"/>
            <w:tcMar>
              <w:top w:w="110" w:type="dxa"/>
              <w:start w:w="120" w:type="dxa"/>
              <w:bottom w:w="110" w:type="dxa"/>
              <w:end w:w="120" w:type="dxa"/>
            </w:tcMar>
          </w:tcPr>
          <w:p>
            <w:pPr>
              <w:jc w:val="center"/>
            </w:pPr>
            <w:r>
              <w:rPr>
                <w:rFonts w:ascii="Microsoft YaHei" w:hAnsi="Microsoft YaHei" w:eastAsia="Microsoft YaHei"/>
                <w:b/>
                <w:color w:val="FFFFFF"/>
                <w:sz w:val="18"/>
              </w:rPr>
              <w:t>申请期限</w:t>
            </w:r>
          </w:p>
        </w:tc>
      </w:tr>
      <w:tr>
        <w:tc>
          <w:tcPr>
            <w:tcW w:type="dxa" w:w="2948"/>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低于99.9%但不低于99.5%</w:t>
            </w:r>
          </w:p>
        </w:tc>
        <w:tc>
          <w:tcPr>
            <w:tcW w:type="dxa" w:w="2835"/>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当月服务费的5%</w:t>
            </w:r>
          </w:p>
        </w:tc>
        <w:tc>
          <w:tcPr>
            <w:tcW w:type="dxa" w:w="3402"/>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次月10个工作日内</w:t>
            </w:r>
          </w:p>
        </w:tc>
      </w:tr>
      <w:tr>
        <w:tc>
          <w:tcPr>
            <w:tcW w:type="dxa" w:w="2948"/>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低于99.5%但不低于99.0%</w:t>
            </w:r>
          </w:p>
        </w:tc>
        <w:tc>
          <w:tcPr>
            <w:tcW w:type="dxa" w:w="2835"/>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当月服务费的10%</w:t>
            </w:r>
          </w:p>
        </w:tc>
        <w:tc>
          <w:tcPr>
            <w:tcW w:type="dxa" w:w="3402"/>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次月10个工作日内</w:t>
            </w:r>
          </w:p>
        </w:tc>
      </w:tr>
      <w:tr>
        <w:tc>
          <w:tcPr>
            <w:tcW w:type="dxa" w:w="2948"/>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低于99.0%</w:t>
            </w:r>
          </w:p>
        </w:tc>
        <w:tc>
          <w:tcPr>
            <w:tcW w:type="dxa" w:w="2835"/>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当月服务费的20%</w:t>
            </w:r>
          </w:p>
        </w:tc>
        <w:tc>
          <w:tcPr>
            <w:tcW w:type="dxa" w:w="3402"/>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次月10个工作日内</w:t>
            </w:r>
          </w:p>
        </w:tc>
      </w:tr>
    </w:tbl>
    <w:p/>
    <w:p>
      <w:pPr>
        <w:jc w:val="both"/>
      </w:pPr>
      <w:r>
        <w:rPr>
          <w:rFonts w:ascii="Microsoft YaHei" w:hAnsi="Microsoft YaHei" w:eastAsia="Microsoft YaHei"/>
          <w:b w:val="0"/>
          <w:color w:val="000000"/>
          <w:sz w:val="21"/>
        </w:rPr>
        <w:t>服务抵扣是可用性未达标的主要合同救济，累计不超过受影响月份服务费的20%，不得兑换现金。P1至P4支持级别及首次响应目标以订单为准；订单未约定时，适用《开放平台 API 接入与故障处理技术手册》的默认目标。首次响应表示乙方已受理并开始协调，不代表问题已解决。</w:t>
      </w:r>
    </w:p>
    <w:p>
      <w:pPr>
        <w:pStyle w:val="Heading1"/>
      </w:pPr>
      <w:r>
        <w:t>4 数据处理与安全</w:t>
      </w:r>
    </w:p>
    <w:p>
      <w:pPr>
        <w:jc w:val="both"/>
      </w:pPr>
      <w:r>
        <w:rPr>
          <w:rFonts w:ascii="Microsoft YaHei" w:hAnsi="Microsoft YaHei" w:eastAsia="Microsoft YaHei"/>
          <w:b w:val="0"/>
          <w:color w:val="000000"/>
          <w:sz w:val="21"/>
        </w:rPr>
        <w:t>甲方是客户数据的控制方或依法有权委托处理的一方，乙方仅依据合同、订单和甲方书面指示处理客户数据。乙方采取访问控制、传输与存储加密、日志审计、漏洞管理、备份和人员保密等合理措施。乙方人员仅在提供服务、排障或履行法定义务所需范围内访问客户数据。</w:t>
      </w:r>
    </w:p>
    <w:p>
      <w:pPr>
        <w:pStyle w:val="Heading2"/>
      </w:pPr>
      <w:r>
        <w:t>4.1 子处理者</w:t>
      </w:r>
    </w:p>
    <w:p>
      <w:pPr>
        <w:jc w:val="both"/>
      </w:pPr>
      <w:r>
        <w:rPr>
          <w:rFonts w:ascii="Microsoft YaHei" w:hAnsi="Microsoft YaHei" w:eastAsia="Microsoft YaHei"/>
          <w:b w:val="0"/>
          <w:color w:val="000000"/>
          <w:sz w:val="21"/>
        </w:rPr>
        <w:t>甲方同意乙方使用提供云基础设施、消息、监控和客户支持的子处理者。乙方应与子处理者约定不低于本合同的保密和安全义务，并对其受托处理活动负责。新增涉及客户数据的主要子处理者时，乙方至少提前15日通过管理后台或邮件通知。甲方有合理数据保护理由的，可在通知后10日内提出异议，双方应协商替代方案。</w:t>
      </w:r>
    </w:p>
    <w:p>
      <w:pPr>
        <w:pStyle w:val="Heading2"/>
      </w:pPr>
      <w:r>
        <w:t>4.2 安全事件</w:t>
      </w:r>
    </w:p>
    <w:p>
      <w:pPr>
        <w:jc w:val="both"/>
      </w:pPr>
      <w:r>
        <w:rPr>
          <w:rFonts w:ascii="Microsoft YaHei" w:hAnsi="Microsoft YaHei" w:eastAsia="Microsoft YaHei"/>
          <w:b w:val="0"/>
          <w:color w:val="000000"/>
          <w:sz w:val="21"/>
        </w:rPr>
        <w:t>乙方确认影响客户数据保密性、完整性或可用性的安全事件后，应在不无故延迟的情况下通知甲方，并在信息可用时说明事件性质、可能影响、已采取措施和联系人。初次通知可以是阶段性的，不以完成根因分析为前提。双方应避免在调查期间发布未经核实的结论。</w:t>
      </w:r>
    </w:p>
    <w:p>
      <w:pPr>
        <w:pStyle w:val="Heading1"/>
      </w:pPr>
      <w:r>
        <w:t>5 数据返还与删除</w:t>
      </w:r>
    </w:p>
    <w:p>
      <w:pPr>
        <w:jc w:val="both"/>
      </w:pPr>
      <w:r>
        <w:rPr>
          <w:rFonts w:ascii="Microsoft YaHei" w:hAnsi="Microsoft YaHei" w:eastAsia="Microsoft YaHei"/>
          <w:b w:val="0"/>
          <w:color w:val="000000"/>
          <w:sz w:val="21"/>
        </w:rPr>
        <w:t>订阅终止后30日内，甲方可以使用服务提供的导出功能获取客户数据。除法律另有要求或双方另有约定，乙方在该期限届满后启动删除，并在90日内从可操作系统中完成删除；备份中的残留数据在正常轮换周期内清除，在此期间继续受到本合同保护。</w:t>
      </w:r>
    </w:p>
    <w:p>
      <w:pPr>
        <w:pStyle w:val="Heading1"/>
      </w:pPr>
      <w:r>
        <w:t>6 费用与付款</w:t>
      </w:r>
    </w:p>
    <w:p>
      <w:pPr>
        <w:jc w:val="both"/>
      </w:pPr>
      <w:r>
        <w:rPr>
          <w:rFonts w:ascii="Microsoft YaHei" w:hAnsi="Microsoft YaHei" w:eastAsia="Microsoft YaHei"/>
          <w:b w:val="0"/>
          <w:color w:val="000000"/>
          <w:sz w:val="21"/>
        </w:rPr>
        <w:t>甲方应按订单约定付款。除订单另有约定，发票开具后30日内到期。甲方对发票有异议的，应在收到后10个工作日内书面说明无争议金额仍应按期支付。服务用量超过订单额度时，乙方可按订单单价计费或与甲方确认扩容方案。</w:t>
      </w:r>
    </w:p>
    <w:p>
      <w:pPr>
        <w:pStyle w:val="Heading1"/>
      </w:pPr>
      <w:r>
        <w:t>7 保密义务</w:t>
      </w:r>
    </w:p>
    <w:p>
      <w:pPr>
        <w:jc w:val="both"/>
      </w:pPr>
      <w:r>
        <w:rPr>
          <w:rFonts w:ascii="Microsoft YaHei" w:hAnsi="Microsoft YaHei" w:eastAsia="Microsoft YaHei"/>
          <w:b w:val="0"/>
          <w:color w:val="000000"/>
          <w:sz w:val="21"/>
        </w:rPr>
        <w:t>接收方应仅为履行合同使用披露方保密信息，并采取不低于保护自身同类重要信息的措施。已公开、接收方无保密义务合法取得、独立开发或经披露方书面同意公开的信息不属于保密信息。因法律要求披露时，接收方应在允许范围内提前通知并限制披露范围。商业秘密的保密义务持续至其依法不再构成商业秘密，其他保密信息的义务持续至合同终止后5年。</w:t>
      </w:r>
    </w:p>
    <w:p>
      <w:pPr>
        <w:pStyle w:val="Heading1"/>
      </w:pPr>
      <w:r>
        <w:t>8 终止与责任</w:t>
      </w:r>
    </w:p>
    <w:p>
      <w:pPr>
        <w:jc w:val="both"/>
      </w:pPr>
      <w:r>
        <w:rPr>
          <w:rFonts w:ascii="Microsoft YaHei" w:hAnsi="Microsoft YaHei" w:eastAsia="Microsoft YaHei"/>
          <w:b w:val="0"/>
          <w:color w:val="000000"/>
          <w:sz w:val="21"/>
        </w:rPr>
        <w:t>一方严重违约且在收到书面通知后30日内未改正的，守约方可以终止受影响订单；涉及违法使用、知识产权侵害、保密或安全重大风险的，另一方可立即暂停相关服务。除欺诈、故意不当行为、保密义务、知识产权侵害或法律不得限制的责任外，各方累计责任以引发责任事件前12个月甲方就受影响服务已支付的费用为上限。</w:t>
      </w:r>
    </w:p>
    <w:p>
      <w:pPr>
        <w:pStyle w:val="Heading1"/>
      </w:pPr>
      <w:r>
        <w:t>9 其他</w:t>
      </w:r>
    </w:p>
    <w:p>
      <w:pPr>
        <w:jc w:val="both"/>
      </w:pPr>
      <w:r>
        <w:rPr>
          <w:rFonts w:ascii="Microsoft YaHei" w:hAnsi="Microsoft YaHei" w:eastAsia="Microsoft YaHei"/>
          <w:b w:val="0"/>
          <w:color w:val="000000"/>
          <w:sz w:val="21"/>
        </w:rPr>
        <w:t>双方的通知应发送至订单列明的联系人。未经另一方书面同意，任何一方不得转让本合同，但因合并、重组或出售主要资产且受让方承继义务的除外。本示范文本中的争议解决地和适用法律应在正式签约时由双方根据实际情况填写。</w:t>
      </w:r>
    </w:p>
    <w:p>
      <w:pPr>
        <w:pStyle w:val="Heading1"/>
      </w:pPr>
      <w:r>
        <w:t>10 订单关键字段</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1757"/>
            <w:vAlign w:val="center"/>
            <w:shd w:fill="1F4E78"/>
            <w:tcMar>
              <w:top w:w="110" w:type="dxa"/>
              <w:start w:w="120" w:type="dxa"/>
              <w:bottom w:w="110" w:type="dxa"/>
              <w:end w:w="120" w:type="dxa"/>
            </w:tcMar>
          </w:tcPr>
          <w:p>
            <w:pPr>
              <w:jc w:val="center"/>
            </w:pPr>
            <w:r>
              <w:rPr>
                <w:rFonts w:ascii="Microsoft YaHei" w:hAnsi="Microsoft YaHei" w:eastAsia="Microsoft YaHei"/>
                <w:b/>
                <w:color w:val="FFFFFF"/>
                <w:sz w:val="18"/>
              </w:rPr>
              <w:t>字段</w:t>
            </w:r>
          </w:p>
        </w:tc>
        <w:tc>
          <w:tcPr>
            <w:tcW w:type="dxa" w:w="3515"/>
            <w:vAlign w:val="center"/>
            <w:shd w:fill="1F4E78"/>
            <w:tcMar>
              <w:top w:w="110" w:type="dxa"/>
              <w:start w:w="120" w:type="dxa"/>
              <w:bottom w:w="110" w:type="dxa"/>
              <w:end w:w="120" w:type="dxa"/>
            </w:tcMar>
          </w:tcPr>
          <w:p>
            <w:pPr>
              <w:jc w:val="center"/>
            </w:pPr>
            <w:r>
              <w:rPr>
                <w:rFonts w:ascii="Microsoft YaHei" w:hAnsi="Microsoft YaHei" w:eastAsia="Microsoft YaHei"/>
                <w:b/>
                <w:color w:val="FFFFFF"/>
                <w:sz w:val="18"/>
              </w:rPr>
              <w:t>填写内容</w:t>
            </w:r>
          </w:p>
        </w:tc>
        <w:tc>
          <w:tcPr>
            <w:tcW w:type="dxa" w:w="3912"/>
            <w:vAlign w:val="center"/>
            <w:shd w:fill="1F4E78"/>
            <w:tcMar>
              <w:top w:w="110" w:type="dxa"/>
              <w:start w:w="120" w:type="dxa"/>
              <w:bottom w:w="110" w:type="dxa"/>
              <w:end w:w="120" w:type="dxa"/>
            </w:tcMar>
          </w:tcPr>
          <w:p>
            <w:pPr>
              <w:jc w:val="center"/>
            </w:pPr>
            <w:r>
              <w:rPr>
                <w:rFonts w:ascii="Microsoft YaHei" w:hAnsi="Microsoft YaHei" w:eastAsia="Microsoft YaHei"/>
                <w:b/>
                <w:color w:val="FFFFFF"/>
                <w:sz w:val="18"/>
              </w:rPr>
              <w:t>说明</w:t>
            </w:r>
          </w:p>
        </w:tc>
      </w:tr>
      <w:tr>
        <w:tc>
          <w:tcPr>
            <w:tcW w:type="dxa" w:w="1757"/>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订阅服务</w:t>
            </w:r>
          </w:p>
        </w:tc>
        <w:tc>
          <w:tcPr>
            <w:tcW w:type="dxa" w:w="3515"/>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产品模块、环境和用户数量</w:t>
            </w:r>
          </w:p>
        </w:tc>
        <w:tc>
          <w:tcPr>
            <w:tcW w:type="dxa" w:w="3912"/>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列明是否包含开放接口和专属支持</w:t>
            </w:r>
          </w:p>
        </w:tc>
      </w:tr>
      <w:tr>
        <w:tc>
          <w:tcPr>
            <w:tcW w:type="dxa" w:w="1757"/>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订阅期限</w:t>
            </w:r>
          </w:p>
        </w:tc>
        <w:tc>
          <w:tcPr>
            <w:tcW w:type="dxa" w:w="3515"/>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起始日和终止日</w:t>
            </w:r>
          </w:p>
        </w:tc>
        <w:tc>
          <w:tcPr>
            <w:tcW w:type="dxa" w:w="3912"/>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说明是否自动续约及通知期限</w:t>
            </w:r>
          </w:p>
        </w:tc>
      </w:tr>
      <w:tr>
        <w:tc>
          <w:tcPr>
            <w:tcW w:type="dxa" w:w="1757"/>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费用与额度</w:t>
            </w:r>
          </w:p>
        </w:tc>
        <w:tc>
          <w:tcPr>
            <w:tcW w:type="dxa" w:w="3515"/>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订阅费、计费周期、用量上限</w:t>
            </w:r>
          </w:p>
        </w:tc>
        <w:tc>
          <w:tcPr>
            <w:tcW w:type="dxa" w:w="3912"/>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超额计费规则须明确</w:t>
            </w:r>
          </w:p>
        </w:tc>
      </w:tr>
      <w:tr>
        <w:tc>
          <w:tcPr>
            <w:tcW w:type="dxa" w:w="1757"/>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数据区域</w:t>
            </w:r>
          </w:p>
        </w:tc>
        <w:tc>
          <w:tcPr>
            <w:tcW w:type="dxa" w:w="3515"/>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约定的存储和主要处理区域</w:t>
            </w:r>
          </w:p>
        </w:tc>
        <w:tc>
          <w:tcPr>
            <w:tcW w:type="dxa" w:w="3912"/>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跨区域处理另行说明</w:t>
            </w:r>
          </w:p>
        </w:tc>
      </w:tr>
      <w:tr>
        <w:tc>
          <w:tcPr>
            <w:tcW w:type="dxa" w:w="1757"/>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支持等级</w:t>
            </w:r>
          </w:p>
        </w:tc>
        <w:tc>
          <w:tcPr>
            <w:tcW w:type="dxa" w:w="3515"/>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P1至P4响应目标及联系人</w:t>
            </w:r>
          </w:p>
        </w:tc>
        <w:tc>
          <w:tcPr>
            <w:tcW w:type="dxa" w:w="3912"/>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专属目标优先于默认技术手册</w:t>
            </w:r>
          </w:p>
        </w:tc>
      </w:tr>
    </w:tbl>
    <w:p/>
    <w:p>
      <w:pPr>
        <w:pStyle w:val="Heading1"/>
      </w:pPr>
      <w:r>
        <w:t>11 签署信息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37"/>
        <w:gridCol w:w="3137"/>
        <w:gridCol w:w="3137"/>
      </w:tblGrid>
      <w:tr>
        <w:trPr>
          <w:tblHeader w:val="true"/>
        </w:trPr>
        <w:tc>
          <w:tcPr>
            <w:tcW w:type="dxa" w:w="1701"/>
            <w:vAlign w:val="center"/>
            <w:shd w:fill="1F4E78"/>
            <w:tcMar>
              <w:top w:w="110" w:type="dxa"/>
              <w:start w:w="120" w:type="dxa"/>
              <w:bottom w:w="110" w:type="dxa"/>
              <w:end w:w="120" w:type="dxa"/>
            </w:tcMar>
          </w:tcPr>
          <w:p>
            <w:pPr>
              <w:jc w:val="center"/>
            </w:pPr>
            <w:r>
              <w:rPr>
                <w:rFonts w:ascii="Microsoft YaHei" w:hAnsi="Microsoft YaHei" w:eastAsia="Microsoft YaHei"/>
                <w:b/>
                <w:color w:val="FFFFFF"/>
                <w:sz w:val="18"/>
              </w:rPr>
              <w:t>项目</w:t>
            </w:r>
          </w:p>
        </w:tc>
        <w:tc>
          <w:tcPr>
            <w:tcW w:type="dxa" w:w="3742"/>
            <w:vAlign w:val="center"/>
            <w:shd w:fill="1F4E78"/>
            <w:tcMar>
              <w:top w:w="110" w:type="dxa"/>
              <w:start w:w="120" w:type="dxa"/>
              <w:bottom w:w="110" w:type="dxa"/>
              <w:end w:w="120" w:type="dxa"/>
            </w:tcMar>
          </w:tcPr>
          <w:p>
            <w:pPr>
              <w:jc w:val="center"/>
            </w:pPr>
            <w:r>
              <w:rPr>
                <w:rFonts w:ascii="Microsoft YaHei" w:hAnsi="Microsoft YaHei" w:eastAsia="Microsoft YaHei"/>
                <w:b/>
                <w:color w:val="FFFFFF"/>
                <w:sz w:val="18"/>
              </w:rPr>
              <w:t>甲方</w:t>
            </w:r>
          </w:p>
        </w:tc>
        <w:tc>
          <w:tcPr>
            <w:tcW w:type="dxa" w:w="3742"/>
            <w:vAlign w:val="center"/>
            <w:shd w:fill="1F4E78"/>
            <w:tcMar>
              <w:top w:w="110" w:type="dxa"/>
              <w:start w:w="120" w:type="dxa"/>
              <w:bottom w:w="110" w:type="dxa"/>
              <w:end w:w="120" w:type="dxa"/>
            </w:tcMar>
          </w:tcPr>
          <w:p>
            <w:pPr>
              <w:jc w:val="center"/>
            </w:pPr>
            <w:r>
              <w:rPr>
                <w:rFonts w:ascii="Microsoft YaHei" w:hAnsi="Microsoft YaHei" w:eastAsia="Microsoft YaHei"/>
                <w:b/>
                <w:color w:val="FFFFFF"/>
                <w:sz w:val="18"/>
              </w:rPr>
              <w:t>乙方</w:t>
            </w:r>
          </w:p>
        </w:tc>
      </w:tr>
      <w:tr>
        <w:tc>
          <w:tcPr>
            <w:tcW w:type="dxa" w:w="1701"/>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主体名称</w:t>
            </w:r>
          </w:p>
        </w:tc>
        <w:tc>
          <w:tcPr>
            <w:tcW w:type="dxa" w:w="3742"/>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待正式签约时填写</w:t>
            </w:r>
          </w:p>
        </w:tc>
        <w:tc>
          <w:tcPr>
            <w:tcW w:type="dxa" w:w="3742"/>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启明数字科技有限公司</w:t>
            </w:r>
          </w:p>
        </w:tc>
      </w:tr>
      <w:tr>
        <w:tc>
          <w:tcPr>
            <w:tcW w:type="dxa" w:w="1701"/>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授权代表</w:t>
            </w:r>
          </w:p>
        </w:tc>
        <w:tc>
          <w:tcPr>
            <w:tcW w:type="dxa" w:w="3742"/>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待填写</w:t>
            </w:r>
          </w:p>
        </w:tc>
        <w:tc>
          <w:tcPr>
            <w:tcW w:type="dxa" w:w="3742"/>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待填写</w:t>
            </w:r>
          </w:p>
        </w:tc>
      </w:tr>
      <w:tr>
        <w:tc>
          <w:tcPr>
            <w:tcW w:type="dxa" w:w="1701"/>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通知邮箱</w:t>
            </w:r>
          </w:p>
        </w:tc>
        <w:tc>
          <w:tcPr>
            <w:tcW w:type="dxa" w:w="3742"/>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待填写</w:t>
            </w:r>
          </w:p>
        </w:tc>
        <w:tc>
          <w:tcPr>
            <w:tcW w:type="dxa" w:w="3742"/>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待填写</w:t>
            </w:r>
          </w:p>
        </w:tc>
      </w:tr>
      <w:tr>
        <w:tc>
          <w:tcPr>
            <w:tcW w:type="dxa" w:w="1701"/>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签署日期</w:t>
            </w:r>
          </w:p>
        </w:tc>
        <w:tc>
          <w:tcPr>
            <w:tcW w:type="dxa" w:w="3742"/>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待填写</w:t>
            </w:r>
          </w:p>
        </w:tc>
        <w:tc>
          <w:tcPr>
            <w:tcW w:type="dxa" w:w="3742"/>
            <w:shd w:fill="F2F6FA"/>
            <w:vAlign w:val="center"/>
            <w:tcMar>
              <w:top w:w="100" w:type="dxa"/>
              <w:start w:w="120" w:type="dxa"/>
              <w:bottom w:w="100" w:type="dxa"/>
              <w:end w:w="120" w:type="dxa"/>
            </w:tcMar>
          </w:tcPr>
          <w:p>
            <w:pPr>
              <w:jc w:val="center"/>
            </w:pPr>
            <w:r>
              <w:rPr>
                <w:rFonts w:ascii="Microsoft YaHei" w:hAnsi="Microsoft YaHei" w:eastAsia="Microsoft YaHei"/>
                <w:b w:val="0"/>
                <w:color w:val="000000"/>
                <w:sz w:val="18"/>
              </w:rPr>
              <w:t>待填写</w:t>
            </w:r>
          </w:p>
        </w:tc>
      </w:tr>
    </w:tbl>
    <w:p/>
    <w:sectPr w:rsidR="00FC693F" w:rsidRPr="0006063C" w:rsidSect="00034616">
      <w:headerReference w:type="default" r:id="rId9"/>
      <w:footerReference w:type="default" r:id="rId10"/>
      <w:pgSz w:w="11906" w:h="16838"/>
      <w:pgMar w:top="1020"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6"/>
      </w:rPr>
      <w:t xml:space="preserve">QM-LEG-2026-06  |  </w:t>
    </w:r>
    <w:r>
      <w:rPr>
        <w:rFonts w:ascii="Microsoft YaHei" w:hAnsi="Microsoft YaHei" w:eastAsia="Microsoft YaHei"/>
        <w:b w:val="0"/>
        <w:color w:val="666666"/>
        <w:sz w:val="16"/>
      </w:rPr>
      <w:t xml:space="preserve">第 </w:t>
    </w:r>
    <w:r>
      <w:rPr>
        <w:rFonts w:ascii="Microsoft YaHei" w:hAnsi="Microsoft YaHei" w:eastAsia="Microsoft YaHei"/>
        <w:b w:val="0"/>
        <w:color w:val="666666"/>
        <w:sz w:val="16"/>
      </w:rPr>
      <w:fldChar w:fldCharType="begin"/>
      <w:instrText xml:space="preserve"> PAGE </w:instrText>
      <w:fldChar w:fldCharType="end"/>
    </w:r>
    <w:r>
      <w:rPr>
        <w:rFonts w:ascii="Microsoft YaHei" w:hAnsi="Microsoft YaHei" w:eastAsia="Microsoft YaHei"/>
        <w:b w:val="0"/>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66666"/>
        <w:sz w:val="17"/>
      </w:rPr>
      <w:t>启明数字科技有限公司  |  机密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YaHei" w:hAnsi="Microsoft YaHei"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云服务订阅与数据处理合同示范文本</dc:title>
  <dc:subject>合同文件</dc:subject>
  <dc:creator>python-docx</dc:creator>
  <cp:keywords>模拟企业文档,RAG测试,启明数字科技</cp:keywords>
  <dc:description>模拟企业文件，仅用于检索增强生成系统的开发、测试与评估，不具有实际管理或法律效力。</dc:description>
  <cp:lastModifiedBy/>
  <cp:revision>1</cp:revision>
  <dcterms:created xsi:type="dcterms:W3CDTF">2013-12-23T23:15:00Z</dcterms:created>
  <dcterms:modified xsi:type="dcterms:W3CDTF">2013-12-23T23:15:00Z</dcterms:modified>
  <cp:category/>
</cp:coreProperties>
</file>