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20" w:after="240"/>
        <w:jc w:val="center"/>
      </w:pPr>
      <w:r>
        <w:t>启明数字科技有限公司企业知识库手册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员工办事规则与常见问题指引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版本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生效日期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2026年9月1日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适用范围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启明数字科技有限公司全体员工及经批准的外部协作人员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维护部门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行政人力部牵头，各业务部门共同维护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使用说明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本手册集中说明员工日常工作中最常查询的制度与流程，包括组织职责、入职与转正、考勤休假、费用报销、采购合同、信息安全、客户服务、知识维护和突发事件处置。员工应先依据本手册办理事项；遇到未覆盖的情形，应向对应责任部门确认，不得自行推断审批权限或承诺处理时限。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本手册中的工作日均指公司正常办公日。金额均为含税人民币金额。制度与法律法规、劳动合同或经批准的专项政策不一致时，以效力更高且最新发布的文件为准。各部门负责人应确保本部门员工能够访问最新版本，并在制度变化后五个工作日内提交修订内容。</w:t>
      </w:r>
    </w:p>
    <w:p>
      <w:r>
        <w:br w:type="page"/>
      </w:r>
    </w:p>
    <w:p>
      <w:pPr>
        <w:pStyle w:val="Heading1"/>
        <w:keepNext/>
      </w:pPr>
      <w:r>
        <w:t>一 公司与组织职责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启明数字科技有限公司为企业客户提供知识管理、智能检索和业务流程数字化服务。公司实行项目负责人与职能部门协同的管理方式。业务事项由项目或部门负责人对结果负责，涉及用工、财务、合同、数据和安全的事项必须经过相应职能部门审核。任何人不得以项目紧急为由绕过必要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常见咨询事项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行政人力部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招聘、入转调离、考勤、薪酬福利与办公行政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入职材料、休假、证明、工位和门禁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财务部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预算、报销、付款、发票与税务管理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报销标准、付款进度、开票信息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法务与合规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合同审查、授权、合规咨询与争议处理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合同模板、盖章、保密和知识产权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信息技术部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账号、设备、网络、系统权限和安全响应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账号开通、权限申请、设备故障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客户成功部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客户交付、服务工单、培训和满意度管理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项目进度、故障升级、客户培训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 入职试用与岗位变动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新员工应在入职当天完成身份资料核验、劳动合同签署、保密承诺、银行卡和紧急联系人登记。行政人力部负责建立员工档案，信息技术部根据已批准的入职单开通企业邮箱、即时通信、代码仓库和业务系统账号。部门负责人应在首个工作日说明岗位职责、试用期目标和汇报关系，并指定一名工作伙伴协助熟悉流程。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试用期原则上为三个月，具体期限以劳动合同为准。直属负责人应在入职两周内确认可衡量的试用目标，在试用期过半时完成一次反馈，并至少提前七个工作日发起转正评估。转正结论分为通过、延长评估和不通过；涉及劳动合同调整的结论必须由行政人力部审核后执行。岗位、部门、汇报关系或工作地点发生变化时，员工不得仅凭口头通知办理交接，必须以审批完成的岗位变动单为依据。</w:t>
      </w:r>
    </w:p>
    <w:p>
      <w:pPr>
        <w:pStyle w:val="Heading1"/>
        <w:keepNext/>
      </w:pPr>
      <w:r>
        <w:t>三 考勤与休假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标准工作时间为工作日九时至十八时，十二时至十三时为午休。公司允许员工在八时三十分至九时三十分之间弹性到岗，但九时三十分至十七时三十分为核心协作时段。员工应通过考勤系统记录到岗和离岗；漏打卡应在两个工作日内提交说明，由直属负责人确认。未经批准缺勤或无法取得联系的，行政人力部将按照考勤制度核实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休假类型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申请要求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证明材料和审批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年假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原则上提前三个工作日申请；连续三天以上提前五个工作日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直属负责人审批，项目关键期需安排工作交接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病假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突发疾病应在当日上班后一小时内告知负责人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连续两天以上需提供医疗机构证明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事假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提前说明原因和预计天数，不得以事假替代远程办公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直属负责人审批；连续三天以上增加部门负责人审批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婚丧及生育相关假期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按所在地法规和公司专项制度执行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行政人力部核验材料并确认可休天数</w:t>
            </w:r>
          </w:p>
        </w:tc>
      </w:tr>
    </w:tbl>
    <w:p>
      <w:pPr>
        <w:spacing w:after="0"/>
      </w:pP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远程办公不属于休假。员工因临时通勤、家庭照护或需要集中处理任务申请远程办公时，应提前取得直属负责人同意，并保持电话和协作工具在线。涉及客户现场、保密资料、硬件测试或必须线下协作的岗位，由部门负责人决定是否适用远程办公。</w:t>
      </w:r>
    </w:p>
    <w:p>
      <w:pPr>
        <w:pStyle w:val="Heading1"/>
        <w:keepNext/>
      </w:pPr>
      <w:r>
        <w:t>四 费用报销与差旅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业务支出必须具有真实业务目的并符合已批准预算。员工应在支出发生后十个工作日内提交报销，附合法有效的发票、支付凭证和必要的业务说明。多人共同发生的费用由一人统一报销，并注明参与人员。个人消费、罚款、与业务无关的会员服务以及无法说明用途的支出不予报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金额或事项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最低审批要求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补充要求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单笔不超过一千元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直属负责人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须在部门预算内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单笔一千元以上五千元以内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直属负责人和部门负责人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说明业务必要性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单笔超过五千元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部门负责人和财务负责人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原则上应事前申请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单笔超过二万元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总经理或书面授权人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财务复核预算和付款条件</w:t>
            </w:r>
          </w:p>
        </w:tc>
      </w:tr>
    </w:tbl>
    <w:p>
      <w:pPr>
        <w:spacing w:after="0"/>
      </w:pP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国内差旅应先提交出差申请，写明目的、地点、日期和预算。交通与住宿按照公司差旅标准预订；因展会、节假日或客户指定地点导致费用超标的，应在预订前说明原因并取得部门负责人批准。出差结束后五个工作日内完成行程确认，十个工作日内完成报销。财务部对材料不完整的申请可退回补充，退回时间不计入付款处理周期。</w:t>
      </w:r>
    </w:p>
    <w:p>
      <w:pPr>
        <w:pStyle w:val="Heading1"/>
        <w:keepNext/>
      </w:pPr>
      <w:r>
        <w:t>五 采购合同与印章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采购需求应先确认预算、规格、交付时间和验收责任人。预计金额超过一万元的采购原则上应比较至少三家合格供应商；无法比价时，申请人应说明独家来源、兼容性或紧急原因。采购人员不得拆分订单规避审批，也不得接受可能影响公正决策的礼品、返利或私人利益。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对外合同应优先使用公司标准模板。涉及非标准付款、自动续费、排他安排、数据出境、知识产权转让、无限责任或高额违约金的条款，必须提交法务与合规审核。只有法定代表人或取得书面授权的人员可以签署合同。用印申请必须关联最终合同文本和已完成的审批记录，盖章后的扫描件与原件去向应登记在合同台账中。</w:t>
      </w:r>
    </w:p>
    <w:p>
      <w:pPr>
        <w:pStyle w:val="Heading1"/>
        <w:keepNext/>
      </w:pPr>
      <w:r>
        <w:t>六 信息安全与数据使用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公司信息按公开、内部、机密和严格机密四级管理。公开信息可以对外发布；内部信息仅供员工和经授权的合作方使用；机密信息包括客户资料、源代码、合同价格和未发布经营数据；严格机密信息包括核心密钥、批量个人信息和可能造成重大影响的安全资料。员工只能访问完成工作所必需的信息，并应按照数据级别选择存储和传输方式。</w:t>
      </w:r>
    </w:p>
    <w:p>
      <w:pPr>
        <w:pStyle w:val="ListBullet"/>
        <w:spacing w:line="312" w:lineRule="auto" w:after="80"/>
        <w:ind w:left="432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企业账号必须启用多因素认证，密码不得与个人网站共用，也不得通过聊天消息发送。</w:t>
      </w:r>
    </w:p>
    <w:p>
      <w:pPr>
        <w:pStyle w:val="ListBullet"/>
        <w:spacing w:line="312" w:lineRule="auto" w:after="80"/>
        <w:ind w:left="432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客户文件只能保存在公司批准的系统或存储空间，未经批准不得上传个人网盘、个人邮箱或公共人工智能服务。</w:t>
      </w:r>
    </w:p>
    <w:p>
      <w:pPr>
        <w:pStyle w:val="ListBullet"/>
        <w:spacing w:line="312" w:lineRule="auto" w:after="80"/>
        <w:ind w:left="432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离开工位时应锁定屏幕，含有机密信息的纸质材料应存放在上锁区域，废弃前应粉碎。</w:t>
      </w:r>
    </w:p>
    <w:p>
      <w:pPr>
        <w:pStyle w:val="ListBullet"/>
        <w:spacing w:line="312" w:lineRule="auto" w:after="80"/>
        <w:ind w:left="432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发现账号异常、误发文件、设备丢失、恶意软件或疑似数据泄露后，应在十五分钟内联系信息技术部，不得自行删除证据。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使用生成式人工智能工具处理工作内容时，员工必须遵守数据分级要求。未获批准的工具不得接收客户资料、源代码、个人信息、合同原文或内部经营数据。模型输出只能作为辅助材料，提交给客户或用于业务决策前，责任人必须核验事实、来源、版权和保密要求。</w:t>
      </w:r>
    </w:p>
    <w:p>
      <w:pPr>
        <w:pStyle w:val="Heading1"/>
        <w:keepNext/>
      </w:pPr>
      <w:r>
        <w:t>七 客户服务与事件升级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客户问题应统一进入服务工单系统，电话或即时消息中的请求也应补录。工单必须记录客户、系统、影响范围、出现时间、复现步骤和联系人。支持人员应先确认影响，再确定优先级；无法在承诺时间内解决时，应主动更新进展和下一次沟通时间。未经授权，员工不得向客户承诺赔偿、免费延期或合同外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判定标准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首次响应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处理要求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核心业务中断或大范围数据风险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十五分钟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立即通知技术负责人和客户成功负责人，持续更新直至恢复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重要功能受限且无可靠替代方案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一小时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四小时内给出处理方案或临时措施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局部问题且存在替代方案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四小时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一个工作日内反馈计划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咨询、建议或一般体验问题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一个工作日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纳入正常排期并告知预期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 知识内容维护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知识库内容应包含标题、适用范围、责任部门、生效日期、正文和版本记录。文档负责人每季度至少复核一次核心制度；流程、系统入口或联系人发生变化时，应在五个工作日内更新。新版本发布后，旧版本转入归档区并保留版本号，不得直接覆盖导致历史记录丢失。包含客户或员工信息的文档应设置访问范围和保留期限。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提交知识内容时，应使用员工实际会搜索的名称，避免仅使用项目代号或缩写。一个文档应围绕一个稳定主题，步骤应写明触发条件、责任人、输入材料、审批节点和完成标准。引用其他制度时，应写明文件名称和版本。发现内容冲突时，员工应暂停引用并通知责任部门，由责任部门确认有效版本后再恢复发布。</w:t>
      </w:r>
    </w:p>
    <w:p>
      <w:pPr>
        <w:pStyle w:val="Heading1"/>
        <w:keepNext/>
      </w:pPr>
      <w:r>
        <w:t>九 突发事件与报告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遇到人身安全、火灾、自然灾害或办公场所紧急情况时，员工应优先保护人员安全并按照现场指引撤离，随后向行政人力部报告。遇到生产系统重大故障、网络攻击或数据泄露时，应立即通知信息技术部值班人员，并保留日志、截图和时间线。对外沟通由公司指定人员统一发布，其他员工不得代表公司向媒体或公众说明未经确认的信息。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涉及舞弊、利益冲突、骚扰、歧视或其他合规问题时，员工可以向直属负责人、行政人力部或法务与合规部门报告。公司应限制知情范围并保护善意报告人员。调查期间，相关人员不得删除资料、干预证人或传播未经确认的结论。需要紧急制止风险的，可先采取暂停权限、隔离设备或停止付款等临时措施，后续补齐记录和审批。</w:t>
      </w:r>
    </w:p>
    <w:p>
      <w:pPr>
        <w:pStyle w:val="Heading1"/>
        <w:keepNext/>
      </w:pPr>
      <w:r>
        <w:t>十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忘记打卡怎么办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在两个工作日内通过考勤系统提交补卡说明，并由直属负责人确认。</w:t>
            </w:r>
          </w:p>
        </w:tc>
      </w:tr>
      <w:tr>
        <w:trPr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年假需要提前多久申请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一般提前三个工作日；连续三天以上应提前五个工作日，并安排工作交接。</w:t>
            </w:r>
          </w:p>
        </w:tc>
      </w:tr>
      <w:tr>
        <w:trPr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出差回来多久报销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出差结束后五个工作日内确认行程，十个工作日内提交完整报销材料。</w:t>
            </w:r>
          </w:p>
        </w:tc>
      </w:tr>
      <w:tr>
        <w:trPr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合同可以先签字后补审批吗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不可以。合同必须完成业务、财务和法务等适用审批后，由有权人员签署。</w:t>
            </w:r>
          </w:p>
        </w:tc>
      </w:tr>
      <w:tr>
        <w:trPr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能否把客户文件上传到个人网盘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不能。客户文件只能存放在公司批准的系统和存储空间。</w:t>
            </w:r>
          </w:p>
        </w:tc>
      </w:tr>
      <w:tr>
        <w:trPr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发现文件误发应该怎么办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立即停止继续传播，并在十五分钟内通知信息技术部和直属负责人，保留相关记录。</w:t>
            </w:r>
          </w:p>
        </w:tc>
      </w:tr>
      <w:tr>
        <w:trPr>
          <w:cantSplit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知识库答案与正式制度冲突怎么办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暂停使用该答案，向责任部门确认，以最新有效的正式制度为准。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十一 联系与更新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制度、人事与考勤问题由行政人力部受理；预算、发票和付款问题由财务部受理；合同、授权和合规问题由法务与合规部门受理；账号、设备和安全事件由信息技术部受理。员工提交咨询时应说明所属部门、事项背景、期望完成时间并附必要材料。紧急事项应同时通过电话或值班渠道升级，普通事项通过工单或企业邮箱提交。</w:t>
      </w:r>
    </w:p>
    <w:p>
      <w:pPr>
        <w:widowControl/>
        <w:spacing w:line="348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本手册由行政人力部统筹维护。各部门发现错误、遗漏或流程已经变化时，应提交修订建议并提供批准依据。修订内容经责任部门确认后发布，新版本自标明的生效日期起执行。员工应使用知识库中的最新版本，不应继续传播本地保存的过期副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000000"/>
        <w:sz w:val="17"/>
      </w:rPr>
      <w:t>启明数字科技有限公司  企业知识库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启明数字科技有限公司企业知识库手册</dc:title>
  <dc:subject>企业知识库问答系统测试文档</dc:subject>
  <dc:creator>启明数字科技有限公司</dc:creator>
  <cp:keywords>企业知识库, 人事, 考勤, 报销, 合同, 信息安全, 客户服务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