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开放平台 API 接入与故障处理技术手册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启明数字科技有限公司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QM-TECH-2026-07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1.6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归口部门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平台研发部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批准角色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总经理办公会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生效日期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2026年7月1日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复审日期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2027年6月30日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适用范围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客户研发人员、实施工程师和技术支持人员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密级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内部使用</w:t>
            </w:r>
          </w:p>
        </w:tc>
      </w:tr>
    </w:tbl>
    <w:p/>
    <w:p>
      <w:pPr>
        <w:jc w:val="both"/>
      </w:pPr>
      <w:r>
        <w:t>本手册说明启明开放平台的认证、请求规范、幂等、限流、错误处理和生产故障协作方式。示例中的地址、密钥和业务数据均为虚构，接入方应以实际环境控制台显示的信息为准。</w:t>
      </w:r>
    </w:p>
    <w:p>
      <w:pPr>
        <w:pStyle w:val="Heading1"/>
      </w:pPr>
      <w:r>
        <w:t>1 环境与认证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1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515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基础地址</w:t>
            </w:r>
          </w:p>
        </w:tc>
        <w:tc>
          <w:tcPr>
            <w:tcW w:type="dxa" w:w="209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5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数据要求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沙箱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https://sandbox-api.example.invalid/v1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开发联调与自动化测试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只能使用模拟或脱敏数据</w:t>
            </w:r>
          </w:p>
        </w:tc>
      </w:tr>
      <w:t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</w:t>
            </w:r>
          </w:p>
        </w:tc>
        <w:tc>
          <w:tcPr>
            <w:tcW w:type="dxa" w:w="351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https://api.example.invalid/v1</w:t>
            </w:r>
          </w:p>
        </w:tc>
        <w:tc>
          <w:tcPr>
            <w:tcW w:type="dxa" w:w="20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正式业务调用</w:t>
            </w:r>
          </w:p>
        </w:tc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须完成应用审核和来源限制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服务端应用使用OAuth 2.0客户端凭据模式获取访问令牌。令牌默认有效期为3600秒，客户端应在到期前5分钟刷新，并缓存复用。client_secret属于严格机密数据，只能存储在密钥管理系统中，不得写入前端、移动应用、源代码仓库或日志。</w:t>
      </w:r>
    </w:p>
    <w:p>
      <w:pPr>
        <w:pStyle w:val="Heading2"/>
      </w:pPr>
      <w:r>
        <w:t>1.1 请求头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请求头</w:t>
            </w:r>
          </w:p>
        </w:tc>
        <w:tc>
          <w:tcPr>
            <w:tcW w:type="dxa" w:w="170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是否必需</w:t>
            </w:r>
          </w:p>
        </w:tc>
        <w:tc>
          <w:tcPr>
            <w:tcW w:type="dxa" w:w="5216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Authorization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Bearer访问令牌</w:t>
            </w:r>
          </w:p>
        </w:tc>
      </w:tr>
      <w:tr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X-Request-Id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建议</w:t>
            </w:r>
          </w:p>
        </w:tc>
        <w:tc>
          <w:tcPr>
            <w:tcW w:type="dxa" w:w="521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调用方生成的唯一请求标识，用于链路排查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Idempotency-Key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写操作必需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同一业务操作重试时保持不变，有效期24小时</w:t>
            </w:r>
          </w:p>
        </w:tc>
      </w:tr>
      <w:tr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Content-Type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521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application/json; charset=utf-8</w:t>
            </w:r>
          </w:p>
        </w:tc>
      </w:tr>
    </w:tbl>
    <w:p/>
    <w:p>
      <w:pPr>
        <w:pStyle w:val="Heading1"/>
      </w:pPr>
      <w:r>
        <w:t>2 幂等与重试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创建订单、发起付款和提交审批等写操作必须提供Idempotency-Key。平台以租户、接口和幂等键共同识别重复请求；请求体不同但复用同一幂等键时返回409。调用方只应对网络错误、429、502、503和504进行自动重试，采用带随机抖动的指数退避，建议等待1秒、2秒、4秒，最多3次。400、401、403、404和业务校验失败不得盲目重试。</w:t>
      </w:r>
    </w:p>
    <w:p>
      <w:pPr>
        <w:pStyle w:val="Heading1"/>
      </w:pPr>
      <w:r>
        <w:t>3 限流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默认每个租户每个应用每分钟允许120次请求，突发容量为30。批量查询接口单次最多100条记录。响应头X-RateLimit-Limit、X-RateLimit-Remaining和X-RateLimit-Reset用于展示当前窗口状态。收到429时应遵循Retry-After，不得通过创建多个应用规避限流。合同或控制台标明的专属额度优先于本手册默认值。</w:t>
      </w:r>
    </w:p>
    <w:p>
      <w:pPr>
        <w:pStyle w:val="Heading1"/>
      </w:pPr>
      <w:r>
        <w:t>4 错误模型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8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41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HTTP状态</w:t>
            </w:r>
          </w:p>
        </w:tc>
        <w:tc>
          <w:tcPr>
            <w:tcW w:type="dxa" w:w="289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处理建议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AUTH-001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令牌无效或已过期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刷新令牌后仅重试一次</w:t>
            </w:r>
          </w:p>
        </w:tc>
      </w:tr>
      <w:t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AUTH-003</w:t>
            </w:r>
          </w:p>
        </w:tc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289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应用无资源权限</w:t>
            </w:r>
          </w:p>
        </w:tc>
        <w:tc>
          <w:tcPr>
            <w:tcW w:type="dxa" w:w="328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检查授权范围，不要自动重试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REQ-009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请求字段校验失败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根据field_errors修正请求</w:t>
            </w:r>
          </w:p>
        </w:tc>
      </w:tr>
      <w:t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IDEM-002</w:t>
            </w:r>
          </w:p>
        </w:tc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89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幂等键与原请求内容不一致</w:t>
            </w:r>
          </w:p>
        </w:tc>
        <w:tc>
          <w:tcPr>
            <w:tcW w:type="dxa" w:w="328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生成新键或恢复原请求体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RATE-001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429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超过调用额度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按照Retry-After退避</w:t>
            </w:r>
          </w:p>
        </w:tc>
      </w:tr>
      <w:t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SYS-500</w:t>
            </w:r>
          </w:p>
        </w:tc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503</w:t>
            </w:r>
          </w:p>
        </w:tc>
        <w:tc>
          <w:tcPr>
            <w:tcW w:type="dxa" w:w="289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服务暂时不可用</w:t>
            </w:r>
          </w:p>
        </w:tc>
        <w:tc>
          <w:tcPr>
            <w:tcW w:type="dxa" w:w="328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指数退避；超过3次转人工处理</w:t>
            </w:r>
          </w:p>
        </w:tc>
      </w:tr>
    </w:tbl>
    <w:p/>
    <w:p>
      <w:pPr>
        <w:pStyle w:val="Heading1"/>
      </w:pPr>
      <w:r>
        <w:t>5 Webhook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Webhook使用HMAC-SHA256签名。接收方应使用原始请求体、时间戳和Webhook密钥验证X-QM-Signature，并拒绝时间戳与本地时间相差超过5分钟的请求。平台在未收到2xx响应时重试，最长持续24小时。接收方必须根据event_id去重，并在5秒内返回；耗时业务应进入异步队列。</w:t>
      </w:r>
    </w:p>
    <w:p>
      <w:pPr>
        <w:pStyle w:val="Heading1"/>
      </w:pPr>
      <w:r>
        <w:t>6 生产故障协作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515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09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首次响应目标</w:t>
            </w:r>
          </w:p>
        </w:tc>
        <w:tc>
          <w:tcPr>
            <w:tcW w:type="dxa" w:w="243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更新频率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生产核心接口大面积不可用、数据完整性风险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15分钟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每30分钟</w:t>
            </w:r>
          </w:p>
        </w:tc>
      </w:tr>
      <w:tr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51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主要功能降级但存在替代方案</w:t>
            </w:r>
          </w:p>
        </w:tc>
        <w:tc>
          <w:tcPr>
            <w:tcW w:type="dxa" w:w="20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1小时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每2小时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局部问题或一般缺陷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1个工作日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状态变化时</w:t>
            </w:r>
          </w:p>
        </w:tc>
      </w:tr>
      <w:tr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P4</w:t>
            </w:r>
          </w:p>
        </w:tc>
        <w:tc>
          <w:tcPr>
            <w:tcW w:type="dxa" w:w="351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咨询、优化建议</w:t>
            </w:r>
          </w:p>
        </w:tc>
        <w:tc>
          <w:tcPr>
            <w:tcW w:type="dxa" w:w="20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2个工作日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按工单计划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提交故障时应提供租户编号、环境、时间范围、X-Request-Id、接口路径、状态码、经过脱敏的请求摘要和已采取措施。不得在工单中提交访问令牌、client_secret、完整身份证件或银行卡信息。P1事件恢复后，公司在5个工作日内提供初步复盘摘要；根因复杂时可先提供阶段性结论。</w:t>
      </w:r>
    </w:p>
    <w:p>
      <w:pPr>
        <w:pStyle w:val="Heading1"/>
      </w:pPr>
      <w:r>
        <w:t>7 版本与兼容性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API主版本通过路径标识。新增可选字段通常不视为破坏性变更，客户端应忽略未知字段。字段删除、类型变化或语义不兼容会进入新主版本。旧主版本计划停止服务时，公司原则上提前180日通知；安全或法律要求导致的紧急变更除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2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平台动作</w:t>
            </w:r>
          </w:p>
        </w:tc>
        <w:tc>
          <w:tcPr>
            <w:tcW w:type="dxa" w:w="3855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接入方动作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在用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持续发布兼容性更新和安全修复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监控公告并保持客户端测试</w:t>
            </w:r>
          </w:p>
        </w:tc>
      </w:tr>
      <w:t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停止新增</w:t>
            </w:r>
          </w:p>
        </w:tc>
        <w:tc>
          <w:tcPr>
            <w:tcW w:type="dxa" w:w="36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不再增加功能，继续提供关键修复</w:t>
            </w:r>
          </w:p>
        </w:tc>
        <w:tc>
          <w:tcPr>
            <w:tcW w:type="dxa" w:w="385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完成新主版本差异评估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弃用期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发布迁移指南和停服日期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在测试环境完成迁移及回归</w:t>
            </w:r>
          </w:p>
        </w:tc>
      </w:tr>
      <w:t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停止服务</w:t>
            </w:r>
          </w:p>
        </w:tc>
        <w:tc>
          <w:tcPr>
            <w:tcW w:type="dxa" w:w="36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关闭旧版本入口并保留必要审计记录</w:t>
            </w:r>
          </w:p>
        </w:tc>
        <w:tc>
          <w:tcPr>
            <w:tcW w:type="dxa" w:w="385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生产流量应已全部切换</w:t>
            </w:r>
          </w:p>
        </w:tc>
      </w:tr>
    </w:tbl>
    <w:p/>
    <w:p>
      <w:pPr>
        <w:pStyle w:val="Heading2"/>
      </w:pPr>
      <w:r>
        <w:t>7.1 客户端兼容建议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忽略响应中的未知可选字段，不依赖JSON字段顺序。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为错误代码保留兜底分支，不把错误消息文本作为程序判断条件。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在沙箱环境执行契约测试，并在生产发布前验证认证、幂等、限流和Webhook。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记录正在使用的API主版本、SDK版本和负责人，收到弃用通知后进入变更管理。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QM-TECH-2026-07  |  </w:t>
    </w:r>
    <w:r>
      <w:rPr>
        <w:rFonts w:ascii="Microsoft YaHei" w:hAnsi="Microsoft YaHei" w:eastAsia="Microsoft YaHei"/>
        <w:b w:val="0"/>
        <w:color w:val="666666"/>
        <w:sz w:val="16"/>
      </w:rPr>
      <w:t xml:space="preserve">第 </w:t>
    </w:r>
    <w:r>
      <w:rPr>
        <w:rFonts w:ascii="Microsoft YaHei" w:hAnsi="Microsoft YaHei" w:eastAsia="Microsoft YaHei"/>
        <w:b w:val="0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启明数字科技有限公司  |  内部使用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开放平台 API 接入与故障处理技术手册</dc:title>
  <dc:subject>技术文档</dc:subject>
  <dc:creator>python-docx</dc:creator>
  <cp:keywords>模拟企业文档,RAG测试,启明数字科技</cp:keywords>
  <dc:description>模拟企业文件，仅用于检索增强生成系统的开发、测试与评估，不具有实际管理或法律效力。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