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webSettings.xml" ContentType="application/vnd.openxmlformats-officedocument.wordprocessingml.webSettings+xml"/>
  <Override PartName="/word/footer2.xml" ContentType="application/vnd.openxmlformats-officedocument.wordprocessingml.footer+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711"/>
        <w:pBdr/>
        <w:spacing/>
        <w:ind/>
        <w:rPr/>
      </w:pPr>
      <w:r>
        <w:rPr>
          <w:sz w:val="20"/>
        </w:rPr>
        <w:t xml:space="preserve">ESPECIALIZACIÓN EN INTELIGENCIA ARTIFICIAL</w:t>
      </w:r>
      <w:r/>
    </w:p>
    <w:p>
      <w:pPr>
        <w:pStyle w:val="711"/>
        <w:pBdr/>
        <w:spacing/>
        <w:ind/>
        <w:rPr/>
      </w:pPr>
      <w:r>
        <w:rPr>
          <w:sz w:val="20"/>
        </w:rPr>
        <w:t xml:space="preserve">ACTIVIDAD DE CONSTRUCCIÓN APLICADA · ACA N.º 1</w:t>
      </w:r>
      <w:r/>
    </w:p>
    <w:p>
      <w:pPr>
        <w:pStyle w:val="712"/>
        <w:pBdr/>
        <w:spacing/>
        <w:ind/>
        <w:rPr/>
      </w:pPr>
      <w:r>
        <w:rPr>
          <w:sz w:val="40"/>
        </w:rPr>
        <w:t xml:space="preserve">Radiografía energética de Colombia ante El Niño 2026</w:t>
      </w:r>
      <w:r/>
    </w:p>
    <w:p>
      <w:pPr>
        <w:pStyle w:val="713"/>
        <w:pBdr/>
        <w:spacing/>
        <w:ind/>
        <w:rPr/>
      </w:pPr>
      <w:r>
        <w:rPr>
          <w:sz w:val="26"/>
        </w:rPr>
        <w:t xml:space="preserve">Depuración, análisis y comunicación de datos reales con Python e IA generativa</w:t>
      </w:r>
      <w:r/>
    </w:p>
    <w:p>
      <w:pPr>
        <w:pStyle w:val="719"/>
        <w:pBdr/>
        <w:spacing/>
        <w:ind/>
        <w:rPr/>
      </w:pPr>
      <w:r>
        <w:rPr>
          <w:b/>
        </w:rPr>
        <w:t xml:space="preserve">Tabla 1.</w:t>
      </w:r>
      <w:r>
        <w:rPr>
          <w:i/>
        </w:rPr>
        <w:t xml:space="preserve">  Datos del ACA y productos entregados</w:t>
      </w:r>
      <w:r/>
    </w:p>
    <w:tbl>
      <w:tblPr>
        <w:tblW w:w="5000" w:type="pct"/>
        <w:tblCellMar>
          <w:left w:w="60" w:type="dxa"/>
          <w:top w:w="32" w:type="dxa"/>
          <w:right w:w="60" w:type="dxa"/>
          <w:bottom w:w="32" w:type="dxa"/>
        </w:tblCellMar>
        <w:tblBorders>
          <w:top w:val="single" w:color="a8d08d" w:sz="4" w:space="0"/>
          <w:left w:val="single" w:color="a8d08d" w:sz="4" w:space="0"/>
          <w:bottom w:val="single" w:color="a8d08d" w:sz="4" w:space="0"/>
          <w:right w:val="single" w:color="a8d08d" w:sz="4" w:space="0"/>
          <w:insideH w:val="single" w:color="a8d08d" w:sz="4" w:space="0"/>
          <w:insideV w:val="single" w:color="a8d08d" w:sz="4" w:space="0"/>
        </w:tblBorders>
        <w:tblLayout w:type="fixed"/>
        <w:tblLook w:val="04A0" w:firstRow="1" w:lastRow="0" w:firstColumn="1" w:lastColumn="0" w:noHBand="0" w:noVBand="1"/>
      </w:tblPr>
      <w:tblGrid>
        <w:gridCol w:w="2600"/>
        <w:gridCol w:w="6400"/>
      </w:tblGrid>
      <w:tr>
        <w:trPr>
          <w:cantSplit/>
          <w:tblHeader/>
        </w:trPr>
        <w:tc>
          <w:tcPr>
            <w:shd w:val="clear" w:color="auto" w:fill="e2efd9"/>
            <w:tcBorders/>
            <w:tcW w:w="2600" w:type="dxa"/>
            <w:vAlign w:val="center"/>
          </w:tcPr>
          <w:p>
            <w:pPr>
              <w:pStyle w:val="720"/>
              <w:pBdr/>
              <w:spacing/>
              <w:ind/>
              <w:jc w:val="center"/>
              <w:rPr/>
            </w:pPr>
            <w:r>
              <w:rPr>
                <w:b/>
                <w:sz w:val="18"/>
              </w:rPr>
              <w:t xml:space="preserve">Elemento</w:t>
            </w:r>
            <w:r/>
          </w:p>
        </w:tc>
        <w:tc>
          <w:tcPr>
            <w:shd w:val="clear" w:color="auto" w:fill="e2efd9"/>
            <w:tcBorders/>
            <w:tcW w:w="6400" w:type="dxa"/>
            <w:vAlign w:val="center"/>
          </w:tcPr>
          <w:p>
            <w:pPr>
              <w:pStyle w:val="720"/>
              <w:pBdr/>
              <w:spacing/>
              <w:ind/>
              <w:jc w:val="center"/>
              <w:rPr/>
            </w:pPr>
            <w:r>
              <w:rPr>
                <w:b/>
                <w:sz w:val="18"/>
              </w:rPr>
              <w:t xml:space="preserve">Detalle</w:t>
            </w:r>
            <w:r/>
          </w:p>
        </w:tc>
      </w:tr>
      <w:tr>
        <w:trPr/>
        <w:tc>
          <w:tcPr>
            <w:tcBorders/>
            <w:tcW w:w="2600" w:type="dxa"/>
            <w:vAlign w:val="center"/>
          </w:tcPr>
          <w:p>
            <w:pPr>
              <w:pStyle w:val="721"/>
              <w:pBdr/>
              <w:spacing/>
              <w:ind/>
              <w:jc w:val="left"/>
              <w:rPr/>
            </w:pPr>
            <w:r>
              <w:rPr>
                <w:sz w:val="18"/>
              </w:rPr>
              <w:t xml:space="preserve">Asignatura</w:t>
            </w:r>
            <w:r/>
          </w:p>
        </w:tc>
        <w:tc>
          <w:tcPr>
            <w:tcBorders/>
            <w:tcW w:w="6400" w:type="dxa"/>
            <w:vAlign w:val="center"/>
          </w:tcPr>
          <w:p>
            <w:pPr>
              <w:pStyle w:val="721"/>
              <w:pBdr/>
              <w:spacing/>
              <w:ind/>
              <w:jc w:val="left"/>
              <w:rPr/>
            </w:pPr>
            <w:r>
              <w:rPr>
                <w:sz w:val="18"/>
              </w:rPr>
              <w:t xml:space="preserve">Programación para Analítica de Datos e IA</w:t>
            </w:r>
            <w:r/>
          </w:p>
        </w:tc>
      </w:tr>
      <w:tr>
        <w:trPr/>
        <w:tc>
          <w:tcPr>
            <w:tcBorders/>
            <w:tcW w:w="2600" w:type="dxa"/>
            <w:vAlign w:val="center"/>
          </w:tcPr>
          <w:p>
            <w:pPr>
              <w:pStyle w:val="721"/>
              <w:pBdr/>
              <w:spacing/>
              <w:ind/>
              <w:jc w:val="left"/>
              <w:rPr/>
            </w:pPr>
            <w:r>
              <w:rPr>
                <w:sz w:val="18"/>
              </w:rPr>
              <w:t xml:space="preserve">Docente / facilitador</w:t>
            </w:r>
            <w:r/>
          </w:p>
        </w:tc>
        <w:tc>
          <w:tcPr>
            <w:tcBorders/>
            <w:tcW w:w="6400" w:type="dxa"/>
            <w:vAlign w:val="center"/>
          </w:tcPr>
          <w:p>
            <w:pPr>
              <w:pStyle w:val="721"/>
              <w:pBdr/>
              <w:spacing/>
              <w:ind/>
              <w:jc w:val="left"/>
              <w:rPr/>
            </w:pPr>
            <w:r>
              <w:rPr>
                <w:sz w:val="18"/>
              </w:rPr>
              <w:t xml:space="preserve">Cristian Felipe Rivera Cañas</w:t>
            </w:r>
            <w:r/>
          </w:p>
        </w:tc>
      </w:tr>
      <w:tr>
        <w:trPr/>
        <w:tc>
          <w:tcPr>
            <w:tcBorders/>
            <w:tcW w:w="2600" w:type="dxa"/>
            <w:vAlign w:val="center"/>
          </w:tcPr>
          <w:p>
            <w:pPr>
              <w:pStyle w:val="721"/>
              <w:pBdr/>
              <w:spacing/>
              <w:ind/>
              <w:jc w:val="left"/>
              <w:rPr/>
            </w:pPr>
            <w:r>
              <w:rPr>
                <w:sz w:val="18"/>
              </w:rPr>
              <w:t xml:space="preserve">Periodo / bloque / corte</w:t>
            </w:r>
            <w:r/>
          </w:p>
        </w:tc>
        <w:tc>
          <w:tcPr>
            <w:tcBorders/>
            <w:tcW w:w="6400" w:type="dxa"/>
            <w:vAlign w:val="center"/>
          </w:tcPr>
          <w:p>
            <w:pPr>
              <w:pStyle w:val="721"/>
              <w:pBdr/>
              <w:spacing/>
              <w:ind/>
              <w:jc w:val="left"/>
              <w:rPr/>
            </w:pPr>
            <w:r>
              <w:rPr>
                <w:sz w:val="18"/>
              </w:rPr>
              <w:t xml:space="preserve">26ES5 – I Bloque</w:t>
            </w:r>
            <w:r/>
          </w:p>
        </w:tc>
      </w:tr>
      <w:tr>
        <w:trPr/>
        <w:tc>
          <w:tcPr>
            <w:tcBorders/>
            <w:tcW w:w="2600" w:type="dxa"/>
            <w:vAlign w:val="center"/>
          </w:tcPr>
          <w:p>
            <w:pPr>
              <w:pStyle w:val="721"/>
              <w:pBdr/>
              <w:spacing/>
              <w:ind/>
              <w:jc w:val="left"/>
              <w:rPr/>
            </w:pPr>
            <w:r>
              <w:rPr>
                <w:sz w:val="18"/>
              </w:rPr>
              <w:t xml:space="preserve">Apertura / cierre en C Digital</w:t>
            </w:r>
            <w:r/>
          </w:p>
        </w:tc>
        <w:tc>
          <w:tcPr>
            <w:tcBorders/>
            <w:tcW w:w="6400" w:type="dxa"/>
            <w:vAlign w:val="center"/>
          </w:tcPr>
          <w:p>
            <w:pPr>
              <w:pStyle w:val="721"/>
              <w:pBdr/>
              <w:spacing/>
              <w:ind/>
              <w:jc w:val="left"/>
              <w:rPr/>
            </w:pPr>
            <w:r>
              <w:rPr>
                <w:sz w:val="18"/>
              </w:rPr>
              <w:t xml:space="preserve">12-10-2026 / 01-11-2026 (23:59)</w:t>
            </w:r>
            <w:r/>
          </w:p>
        </w:tc>
      </w:tr>
      <w:tr>
        <w:trPr/>
        <w:tc>
          <w:tcPr>
            <w:tcBorders/>
            <w:tcW w:w="2600" w:type="dxa"/>
            <w:vAlign w:val="center"/>
          </w:tcPr>
          <w:p>
            <w:pPr>
              <w:pStyle w:val="721"/>
              <w:pBdr/>
              <w:spacing/>
              <w:ind/>
              <w:jc w:val="left"/>
              <w:rPr/>
            </w:pPr>
            <w:r>
              <w:rPr>
                <w:sz w:val="18"/>
              </w:rPr>
              <w:t xml:space="preserve">Productos entregados</w:t>
            </w:r>
            <w:r/>
          </w:p>
        </w:tc>
        <w:tc>
          <w:tcPr>
            <w:tcBorders/>
            <w:tcW w:w="6400" w:type="dxa"/>
            <w:vAlign w:val="center"/>
          </w:tcPr>
          <w:p>
            <w:pPr>
              <w:pStyle w:val="721"/>
              <w:pBdr/>
              <w:spacing/>
              <w:ind/>
              <w:jc w:val="left"/>
              <w:rPr/>
            </w:pPr>
            <w:r>
              <w:rPr>
                <w:sz w:val="18"/>
              </w:rPr>
              <w:t xml:space="preserve">Cuaderno Jupyter (.ipynb) corregido y ejecutado · Exportación HTML · Carpeta datos/ · Este informe en Word</w:t>
            </w:r>
            <w:r/>
          </w:p>
        </w:tc>
      </w:tr>
      <w:tr>
        <w:trPr/>
        <w:tc>
          <w:tcPr>
            <w:tcBorders/>
            <w:tcW w:w="2600" w:type="dxa"/>
            <w:vAlign w:val="center"/>
          </w:tcPr>
          <w:p>
            <w:pPr>
              <w:pStyle w:val="721"/>
              <w:pBdr/>
              <w:spacing/>
              <w:ind/>
              <w:jc w:val="left"/>
              <w:rPr/>
            </w:pPr>
            <w:r>
              <w:rPr>
                <w:sz w:val="18"/>
              </w:rPr>
              <w:t xml:space="preserve">Fuente de los datos</w:t>
            </w:r>
            <w:r/>
          </w:p>
        </w:tc>
        <w:tc>
          <w:tcPr>
            <w:tcBorders/>
            <w:tcW w:w="6400" w:type="dxa"/>
            <w:vAlign w:val="center"/>
          </w:tcPr>
          <w:p>
            <w:pPr>
              <w:pStyle w:val="721"/>
              <w:pBdr/>
              <w:spacing/>
              <w:ind/>
              <w:jc w:val="left"/>
              <w:rPr/>
            </w:pPr>
            <w:r>
              <w:rPr>
                <w:sz w:val="18"/>
              </w:rPr>
              <w:t xml:space="preserve">API pública de XM (pydataxm) · archivo datos/xm_diario.csv, 1.758 filas del 2022-01-01 al 2026-10-24</w:t>
            </w:r>
            <w:r/>
          </w:p>
        </w:tc>
      </w:tr>
    </w:tbl>
    <w:p>
      <w:pPr>
        <w:pStyle w:val="707"/>
        <w:pBdr/>
        <w:spacing w:after="0" w:before="0" w:line="120" w:lineRule="auto"/>
        <w:ind/>
        <w:rPr/>
      </w:pPr>
      <w:r/>
      <w:r/>
    </w:p>
    <w:p>
      <w:pPr>
        <w:pStyle w:val="709"/>
        <w:pBdr/>
        <w:spacing/>
        <w:ind/>
        <w:rPr/>
      </w:pPr>
      <w:r>
        <w:rPr>
          <w:sz w:val="24"/>
        </w:rPr>
        <w:t xml:space="preserve">Equipo de analítica</w:t>
      </w:r>
      <w:r/>
    </w:p>
    <w:p>
      <w:pPr>
        <w:pStyle w:val="719"/>
        <w:pBdr/>
        <w:spacing/>
        <w:ind/>
        <w:rPr/>
      </w:pPr>
      <w:r>
        <w:rPr>
          <w:b/>
        </w:rPr>
        <w:t xml:space="preserve">Tabla 2.</w:t>
      </w:r>
      <w:r>
        <w:rPr>
          <w:i/>
        </w:rPr>
        <w:t xml:space="preserve">  Integrantes, roles y responsabilidades</w:t>
      </w:r>
      <w:r/>
    </w:p>
    <w:tbl>
      <w:tblPr>
        <w:tblW w:w="5000" w:type="pct"/>
        <w:tblCellMar>
          <w:left w:w="60" w:type="dxa"/>
          <w:top w:w="32" w:type="dxa"/>
          <w:right w:w="60" w:type="dxa"/>
          <w:bottom w:w="32" w:type="dxa"/>
        </w:tblCellMar>
        <w:tblBorders>
          <w:top w:val="single" w:color="a8d08d" w:sz="4" w:space="0"/>
          <w:left w:val="single" w:color="a8d08d" w:sz="4" w:space="0"/>
          <w:bottom w:val="single" w:color="a8d08d" w:sz="4" w:space="0"/>
          <w:right w:val="single" w:color="a8d08d" w:sz="4" w:space="0"/>
          <w:insideH w:val="single" w:color="a8d08d" w:sz="4" w:space="0"/>
          <w:insideV w:val="single" w:color="a8d08d" w:sz="4" w:space="0"/>
        </w:tblBorders>
        <w:tblLayout w:type="fixed"/>
        <w:tblLook w:val="04A0" w:firstRow="1" w:lastRow="0" w:firstColumn="1" w:lastColumn="0" w:noHBand="0" w:noVBand="1"/>
      </w:tblPr>
      <w:tblGrid>
        <w:gridCol w:w="2000"/>
        <w:gridCol w:w="3400"/>
        <w:gridCol w:w="1800"/>
        <w:gridCol w:w="1800"/>
      </w:tblGrid>
      <w:tr>
        <w:trPr>
          <w:cantSplit/>
          <w:tblHeader/>
        </w:trPr>
        <w:tc>
          <w:tcPr>
            <w:shd w:val="clear" w:color="auto" w:fill="e2efd9"/>
            <w:tcBorders/>
            <w:tcW w:w="2000" w:type="dxa"/>
            <w:vAlign w:val="center"/>
          </w:tcPr>
          <w:p>
            <w:pPr>
              <w:pStyle w:val="720"/>
              <w:pBdr/>
              <w:spacing/>
              <w:ind/>
              <w:jc w:val="center"/>
              <w:rPr/>
            </w:pPr>
            <w:r>
              <w:rPr>
                <w:b/>
                <w:sz w:val="18"/>
              </w:rPr>
              <w:t xml:space="preserve">Integrante</w:t>
            </w:r>
            <w:r/>
          </w:p>
        </w:tc>
        <w:tc>
          <w:tcPr>
            <w:shd w:val="clear" w:color="auto" w:fill="e2efd9"/>
            <w:tcBorders/>
            <w:tcW w:w="3400" w:type="dxa"/>
            <w:vAlign w:val="center"/>
          </w:tcPr>
          <w:p>
            <w:pPr>
              <w:pStyle w:val="720"/>
              <w:pBdr/>
              <w:spacing/>
              <w:ind/>
              <w:jc w:val="center"/>
              <w:rPr/>
            </w:pPr>
            <w:r>
              <w:rPr>
                <w:b/>
                <w:sz w:val="18"/>
              </w:rPr>
              <w:t xml:space="preserve">Rol</w:t>
            </w:r>
            <w:r/>
          </w:p>
        </w:tc>
        <w:tc>
          <w:tcPr>
            <w:shd w:val="clear" w:color="auto" w:fill="e2efd9"/>
            <w:tcBorders/>
            <w:tcW w:w="1800" w:type="dxa"/>
            <w:vAlign w:val="center"/>
          </w:tcPr>
          <w:p>
            <w:pPr>
              <w:pStyle w:val="720"/>
              <w:pBdr/>
              <w:spacing/>
              <w:ind/>
              <w:jc w:val="center"/>
              <w:rPr/>
            </w:pPr>
            <w:r>
              <w:rPr>
                <w:b/>
                <w:sz w:val="18"/>
              </w:rPr>
              <w:t xml:space="preserve">Misiones que lideró</w:t>
            </w:r>
            <w:r/>
          </w:p>
        </w:tc>
        <w:tc>
          <w:tcPr>
            <w:shd w:val="clear" w:color="auto" w:fill="e2efd9"/>
            <w:tcBorders/>
            <w:tcW w:w="1800" w:type="dxa"/>
            <w:vAlign w:val="center"/>
          </w:tcPr>
          <w:p>
            <w:pPr>
              <w:pStyle w:val="720"/>
              <w:pBdr/>
              <w:spacing/>
              <w:ind/>
              <w:jc w:val="center"/>
              <w:rPr/>
            </w:pPr>
            <w:r>
              <w:rPr>
                <w:b/>
                <w:sz w:val="18"/>
              </w:rPr>
              <w:t xml:space="preserve">Preguntas que lideró</w:t>
            </w:r>
            <w:r/>
          </w:p>
        </w:tc>
      </w:tr>
      <w:tr>
        <w:trPr/>
        <w:tc>
          <w:tcPr>
            <w:tcBorders/>
            <w:tcW w:w="2000" w:type="dxa"/>
            <w:vAlign w:val="center"/>
          </w:tcPr>
          <w:p>
            <w:pPr>
              <w:pStyle w:val="721"/>
              <w:pBdr/>
              <w:spacing/>
              <w:ind/>
              <w:jc w:val="left"/>
              <w:rPr/>
            </w:pPr>
            <w:r>
              <w:rPr>
                <w:sz w:val="18"/>
              </w:rPr>
              <w:t xml:space="preserve">Heriberto Valencia</w:t>
            </w:r>
            <w:r/>
          </w:p>
        </w:tc>
        <w:tc>
          <w:tcPr>
            <w:tcBorders/>
            <w:tcW w:w="3400" w:type="dxa"/>
            <w:vAlign w:val="center"/>
          </w:tcPr>
          <w:p>
            <w:pPr>
              <w:pStyle w:val="721"/>
              <w:pBdr/>
              <w:spacing/>
              <w:ind/>
              <w:jc w:val="left"/>
              <w:rPr/>
            </w:pPr>
            <w:r>
              <w:rPr>
                <w:sz w:val="18"/>
              </w:rPr>
              <w:t xml:space="preserve">PRG · Programador(a) Python</w:t>
            </w:r>
            <w:r/>
          </w:p>
        </w:tc>
        <w:tc>
          <w:tcPr>
            <w:tcBorders/>
            <w:tcW w:w="1800" w:type="dxa"/>
            <w:vAlign w:val="center"/>
          </w:tcPr>
          <w:p>
            <w:pPr>
              <w:pStyle w:val="721"/>
              <w:pBdr/>
              <w:spacing/>
              <w:ind/>
              <w:jc w:val="left"/>
              <w:rPr/>
            </w:pPr>
            <w:r>
              <w:rPr>
                <w:sz w:val="18"/>
              </w:rPr>
              <w:t xml:space="preserve">M3, M7</w:t>
            </w:r>
            <w:r/>
          </w:p>
        </w:tc>
        <w:tc>
          <w:tcPr>
            <w:tcBorders/>
            <w:tcW w:w="1800" w:type="dxa"/>
            <w:vAlign w:val="center"/>
          </w:tcPr>
          <w:p>
            <w:pPr>
              <w:pStyle w:val="721"/>
              <w:pBdr/>
              <w:spacing/>
              <w:ind/>
              <w:jc w:val="left"/>
              <w:rPr/>
            </w:pPr>
            <w:r>
              <w:rPr>
                <w:sz w:val="18"/>
              </w:rPr>
              <w:t xml:space="preserve">3 y 7</w:t>
            </w:r>
            <w:r/>
          </w:p>
        </w:tc>
      </w:tr>
      <w:tr>
        <w:trPr/>
        <w:tc>
          <w:tcPr>
            <w:tcBorders/>
            <w:tcW w:w="2000" w:type="dxa"/>
            <w:vAlign w:val="center"/>
          </w:tcPr>
          <w:p>
            <w:pPr>
              <w:pStyle w:val="721"/>
              <w:pBdr/>
              <w:spacing/>
              <w:ind/>
              <w:jc w:val="left"/>
              <w:rPr/>
            </w:pPr>
            <w:r>
              <w:rPr>
                <w:sz w:val="18"/>
              </w:rPr>
              <w:t xml:space="preserve">Liz Blanco</w:t>
            </w:r>
            <w:r/>
          </w:p>
        </w:tc>
        <w:tc>
          <w:tcPr>
            <w:tcBorders/>
            <w:tcW w:w="3400" w:type="dxa"/>
            <w:vAlign w:val="center"/>
          </w:tcPr>
          <w:p>
            <w:pPr>
              <w:pStyle w:val="721"/>
              <w:pBdr/>
              <w:spacing/>
              <w:ind/>
              <w:jc w:val="left"/>
              <w:rPr/>
            </w:pPr>
            <w:r>
              <w:rPr>
                <w:sz w:val="18"/>
              </w:rPr>
              <w:t xml:space="preserve">ING · Ingeniero(a) de datos y reproducibilidad</w:t>
            </w:r>
            <w:r/>
          </w:p>
        </w:tc>
        <w:tc>
          <w:tcPr>
            <w:tcBorders/>
            <w:tcW w:w="1800" w:type="dxa"/>
            <w:vAlign w:val="center"/>
          </w:tcPr>
          <w:p>
            <w:pPr>
              <w:pStyle w:val="721"/>
              <w:pBdr/>
              <w:spacing/>
              <w:ind/>
              <w:jc w:val="left"/>
              <w:rPr/>
            </w:pPr>
            <w:r>
              <w:rPr>
                <w:sz w:val="18"/>
              </w:rPr>
              <w:t xml:space="preserve">M1</w:t>
            </w:r>
            <w:r/>
          </w:p>
        </w:tc>
        <w:tc>
          <w:tcPr>
            <w:tcBorders/>
            <w:tcW w:w="1800" w:type="dxa"/>
            <w:vAlign w:val="center"/>
          </w:tcPr>
          <w:p>
            <w:pPr>
              <w:pStyle w:val="721"/>
              <w:pBdr/>
              <w:spacing/>
              <w:ind/>
              <w:jc w:val="left"/>
              <w:rPr/>
            </w:pPr>
            <w:r>
              <w:rPr>
                <w:sz w:val="18"/>
              </w:rPr>
              <w:t xml:space="preserve">1</w:t>
            </w:r>
            <w:r/>
          </w:p>
        </w:tc>
      </w:tr>
      <w:tr>
        <w:trPr/>
        <w:tc>
          <w:tcPr>
            <w:tcBorders/>
            <w:tcW w:w="2000" w:type="dxa"/>
            <w:vAlign w:val="center"/>
          </w:tcPr>
          <w:p>
            <w:pPr>
              <w:pStyle w:val="721"/>
              <w:pBdr/>
              <w:spacing/>
              <w:ind/>
              <w:jc w:val="left"/>
              <w:rPr/>
            </w:pPr>
            <w:r>
              <w:rPr>
                <w:sz w:val="18"/>
              </w:rPr>
              <w:t xml:space="preserve">Lina Bastidas</w:t>
            </w:r>
            <w:r/>
          </w:p>
        </w:tc>
        <w:tc>
          <w:tcPr>
            <w:tcBorders/>
            <w:tcW w:w="3400" w:type="dxa"/>
            <w:vAlign w:val="center"/>
          </w:tcPr>
          <w:p>
            <w:pPr>
              <w:pStyle w:val="721"/>
              <w:pBdr/>
              <w:spacing/>
              <w:ind/>
              <w:jc w:val="left"/>
              <w:rPr/>
            </w:pPr>
            <w:r>
              <w:rPr>
                <w:sz w:val="18"/>
              </w:rPr>
              <w:t xml:space="preserve">EST · Analista estadístico(a) de series de tiempo</w:t>
            </w:r>
            <w:r/>
          </w:p>
        </w:tc>
        <w:tc>
          <w:tcPr>
            <w:tcBorders/>
            <w:tcW w:w="1800" w:type="dxa"/>
            <w:vAlign w:val="center"/>
          </w:tcPr>
          <w:p>
            <w:pPr>
              <w:pStyle w:val="721"/>
              <w:pBdr/>
              <w:spacing/>
              <w:ind/>
              <w:jc w:val="left"/>
              <w:rPr/>
            </w:pPr>
            <w:r>
              <w:rPr>
                <w:sz w:val="18"/>
              </w:rPr>
              <w:t xml:space="preserve">M2, M6</w:t>
            </w:r>
            <w:r/>
          </w:p>
        </w:tc>
        <w:tc>
          <w:tcPr>
            <w:tcBorders/>
            <w:tcW w:w="1800" w:type="dxa"/>
            <w:vAlign w:val="center"/>
          </w:tcPr>
          <w:p>
            <w:pPr>
              <w:pStyle w:val="721"/>
              <w:pBdr/>
              <w:spacing/>
              <w:ind/>
              <w:jc w:val="left"/>
              <w:rPr/>
            </w:pPr>
            <w:r>
              <w:rPr>
                <w:sz w:val="18"/>
              </w:rPr>
              <w:t xml:space="preserve">2 y 6</w:t>
            </w:r>
            <w:r/>
          </w:p>
        </w:tc>
      </w:tr>
      <w:tr>
        <w:trPr/>
        <w:tc>
          <w:tcPr>
            <w:tcBorders/>
            <w:tcW w:w="2000" w:type="dxa"/>
            <w:vAlign w:val="center"/>
          </w:tcPr>
          <w:p>
            <w:pPr>
              <w:pStyle w:val="721"/>
              <w:pBdr/>
              <w:spacing/>
              <w:ind/>
              <w:jc w:val="left"/>
              <w:rPr/>
            </w:pPr>
            <w:r>
              <w:rPr>
                <w:sz w:val="18"/>
              </w:rPr>
              <w:t xml:space="preserve">Anderson Silva</w:t>
            </w:r>
            <w:r/>
          </w:p>
        </w:tc>
        <w:tc>
          <w:tcPr>
            <w:tcBorders/>
            <w:tcW w:w="3400" w:type="dxa"/>
            <w:vAlign w:val="center"/>
          </w:tcPr>
          <w:p>
            <w:pPr>
              <w:pStyle w:val="721"/>
              <w:pBdr/>
              <w:spacing/>
              <w:ind/>
              <w:jc w:val="left"/>
              <w:rPr/>
            </w:pPr>
            <w:r>
              <w:rPr>
                <w:sz w:val="18"/>
              </w:rPr>
              <w:t xml:space="preserve">ENE · Analista del mercado energético</w:t>
            </w:r>
            <w:r/>
          </w:p>
        </w:tc>
        <w:tc>
          <w:tcPr>
            <w:tcBorders/>
            <w:tcW w:w="1800" w:type="dxa"/>
            <w:vAlign w:val="center"/>
          </w:tcPr>
          <w:p>
            <w:pPr>
              <w:pStyle w:val="721"/>
              <w:pBdr/>
              <w:spacing/>
              <w:ind/>
              <w:jc w:val="left"/>
              <w:rPr/>
            </w:pPr>
            <w:r>
              <w:rPr>
                <w:sz w:val="18"/>
              </w:rPr>
              <w:t xml:space="preserve">M4, M5</w:t>
            </w:r>
            <w:r/>
          </w:p>
        </w:tc>
        <w:tc>
          <w:tcPr>
            <w:tcBorders/>
            <w:tcW w:w="1800" w:type="dxa"/>
            <w:vAlign w:val="center"/>
          </w:tcPr>
          <w:p>
            <w:pPr>
              <w:pStyle w:val="721"/>
              <w:pBdr/>
              <w:spacing/>
              <w:ind/>
              <w:jc w:val="left"/>
              <w:rPr/>
            </w:pPr>
            <w:r>
              <w:rPr>
                <w:sz w:val="18"/>
              </w:rPr>
              <w:t xml:space="preserve">4 y 5</w:t>
            </w:r>
            <w:r/>
          </w:p>
        </w:tc>
      </w:tr>
      <w:tr>
        <w:trPr/>
        <w:tc>
          <w:tcPr>
            <w:tcBorders/>
            <w:tcW w:w="2000" w:type="dxa"/>
            <w:vAlign w:val="center"/>
          </w:tcPr>
          <w:p>
            <w:pPr>
              <w:pStyle w:val="721"/>
              <w:pBdr/>
              <w:spacing/>
              <w:ind/>
              <w:jc w:val="left"/>
              <w:rPr/>
            </w:pPr>
            <w:r>
              <w:rPr>
                <w:sz w:val="18"/>
              </w:rPr>
              <w:t xml:space="preserve">Juan Diego Rubio</w:t>
            </w:r>
            <w:r/>
          </w:p>
        </w:tc>
        <w:tc>
          <w:tcPr>
            <w:tcBorders/>
            <w:tcW w:w="3400" w:type="dxa"/>
            <w:vAlign w:val="center"/>
          </w:tcPr>
          <w:p>
            <w:pPr>
              <w:pStyle w:val="721"/>
              <w:pBdr/>
              <w:spacing/>
              <w:ind/>
              <w:jc w:val="left"/>
              <w:rPr/>
            </w:pPr>
            <w:r>
              <w:rPr>
                <w:sz w:val="18"/>
              </w:rPr>
              <w:t xml:space="preserve">COM · Líder de comunicación y vibe coding responsable</w:t>
            </w:r>
            <w:r/>
          </w:p>
        </w:tc>
        <w:tc>
          <w:tcPr>
            <w:tcBorders/>
            <w:tcW w:w="1800" w:type="dxa"/>
            <w:vAlign w:val="center"/>
          </w:tcPr>
          <w:p>
            <w:pPr>
              <w:pStyle w:val="721"/>
              <w:pBdr/>
              <w:spacing/>
              <w:ind/>
              <w:jc w:val="left"/>
              <w:rPr/>
            </w:pPr>
            <w:r>
              <w:rPr>
                <w:sz w:val="18"/>
              </w:rPr>
              <w:t xml:space="preserve">M8</w:t>
            </w:r>
            <w:r/>
          </w:p>
        </w:tc>
        <w:tc>
          <w:tcPr>
            <w:tcBorders/>
            <w:tcW w:w="1800" w:type="dxa"/>
            <w:vAlign w:val="center"/>
          </w:tcPr>
          <w:p>
            <w:pPr>
              <w:pStyle w:val="721"/>
              <w:pBdr/>
              <w:spacing/>
              <w:ind/>
              <w:jc w:val="left"/>
              <w:rPr/>
            </w:pPr>
            <w:r>
              <w:rPr>
                <w:sz w:val="18"/>
              </w:rPr>
              <w:t xml:space="preserve">8</w:t>
            </w:r>
            <w:r/>
          </w:p>
        </w:tc>
      </w:tr>
    </w:tbl>
    <w:p>
      <w:pPr>
        <w:pStyle w:val="707"/>
        <w:pBdr/>
        <w:spacing w:after="0" w:before="0" w:line="120" w:lineRule="auto"/>
        <w:ind/>
        <w:rPr/>
      </w:pPr>
      <w:r/>
      <w:r/>
    </w:p>
    <w:p>
      <w:pPr>
        <w:pStyle w:val="717"/>
        <w:pBdr/>
        <w:spacing/>
        <w:ind/>
        <w:rPr/>
      </w:pPr>
      <w:r>
        <w:rPr>
          <w:sz w:val="18"/>
        </w:rPr>
        <w:t xml:space="preserve">La revisión cruzada se hizo por rotación en el orden de la Tabla 3 del ACA: cada integrante revisó la pregunta del siguiente de la lista y el último revisó la primera. La Misión 0 fue resuelta por todo el equipo.</w:t>
      </w:r>
      <w:r/>
    </w:p>
    <w:p>
      <w:pPr>
        <w:pStyle w:val="714"/>
        <w:pBdr/>
        <w:spacing/>
        <w:ind/>
        <w:rPr/>
      </w:pPr>
      <w:r>
        <w:rPr>
          <w:sz w:val="22"/>
        </w:rPr>
        <w:t xml:space="preserve">Bogotá, D. C., 28 de octubre de 2026</w:t>
      </w:r>
      <w:r/>
    </w:p>
    <w:p>
      <w:pPr>
        <w:pBdr/>
        <w:spacing/>
        <w:ind/>
        <w:rPr/>
      </w:pPr>
      <w:r>
        <w:br w:type="page" w:clear="all"/>
      </w:r>
      <w:r/>
    </w:p>
    <w:p>
      <w:pPr>
        <w:pStyle w:val="708"/>
        <w:pBdr/>
        <w:spacing/>
        <w:ind/>
        <w:rPr/>
      </w:pPr>
      <w:r>
        <w:rPr>
          <w:sz w:val="28"/>
        </w:rPr>
        <w:t xml:space="preserve">Resumen</w:t>
      </w:r>
      <w:r/>
    </w:p>
    <w:p>
      <w:pPr>
        <w:pStyle w:val="707"/>
        <w:pBdr/>
        <w:spacing/>
        <w:ind/>
        <w:rPr/>
      </w:pPr>
      <w:r>
        <w:rPr>
          <w:sz w:val="22"/>
        </w:rPr>
        <w:t xml:space="preserve">Este informe responde la Misión 0 y las ocho preguntas por rol del ACA 1 a partir de un cuaderno Jupyter que el equipo depuró, ejecutó de principio a fin y dejó con las 26 verificaciones obligatorias en v</w:t>
      </w:r>
      <w:r>
        <w:rPr>
          <w:sz w:val="22"/>
        </w:rPr>
        <w:t xml:space="preserve">erde. El cuaderno venía de un contratista anterior y traía errores de dos tipos: unos que detenían la ejecución y otros que la dejaban correr pero producían cifras equivocadas. Cada corrección quedó con un comentario # CORREGIDO firmado por su responsable.</w:t>
      </w:r>
      <w:r/>
    </w:p>
    <w:p>
      <w:pPr>
        <w:pStyle w:val="707"/>
        <w:pBdr/>
        <w:spacing/>
        <w:ind/>
        <w:rPr/>
      </w:pPr>
      <w:r>
        <w:rPr>
          <w:sz w:val="22"/>
        </w:rPr>
        <w:t xml:space="preserve">El análisis cubre 1.758 días de op</w:t>
      </w:r>
      <w:r>
        <w:rPr>
          <w:sz w:val="22"/>
        </w:rPr>
        <w:t xml:space="preserve">eración del sistema eléctrico colombiano (del 1 de enero de 2022 al 24 de octubre de 2026) y sostiene tres conclusiones. La demanda crece: septiembre de 2026 consumió 7.566 GWh, 5,87 % más que el mismo mes de 2025, con el domingo como día de menor consumo.</w:t>
      </w:r>
      <w:r>
        <w:rPr>
          <w:sz w:val="22"/>
        </w:rPr>
        <w:t xml:space="preserve"> Los embalses llegan con el margen justo: 76,56 % al 22 de octubre, 3,44 puntos bajo la meta del 80 %, con antecedente de 78 días seguidos bajo el 40 % en 2024. Y el precio no es estable: el día más caro fue el 30 de septiembre de 2024 con COP 2.499/kWh, y</w:t>
      </w:r>
      <w:r>
        <w:rPr>
          <w:sz w:val="22"/>
        </w:rPr>
        <w:t xml:space="preserve"> 2026 acumula 16 días por encima de COP 1.000/kWh. La correlación entre embalses y precio es débil y cambia de signo según el año (Spearman de −0,05 en 2022 a +0,39 en 2026): estos datos describen el sistema, pero no permiten afirmar que uno cause el otro.</w:t>
      </w:r>
      <w:r/>
    </w:p>
    <w:p>
      <w:pPr>
        <w:pStyle w:val="709"/>
        <w:pBdr/>
        <w:spacing/>
        <w:ind/>
        <w:rPr/>
      </w:pPr>
      <w:r>
        <w:rPr>
          <w:sz w:val="24"/>
        </w:rPr>
        <w:t xml:space="preserve">Cifras clave del cuaderno</w:t>
      </w:r>
      <w:r/>
    </w:p>
    <w:p>
      <w:pPr>
        <w:pStyle w:val="719"/>
        <w:pBdr/>
        <w:spacing/>
        <w:ind/>
        <w:rPr/>
      </w:pPr>
      <w:r>
        <w:rPr>
          <w:b/>
        </w:rPr>
        <w:t xml:space="preserve">Tabla 3.</w:t>
      </w:r>
      <w:r>
        <w:rPr>
          <w:i/>
        </w:rPr>
        <w:t xml:space="preserve">  Ficha de cifras clave (celda 8.2 del cuaderno)</w:t>
      </w:r>
      <w:r/>
    </w:p>
    <w:tbl>
      <w:tblPr>
        <w:tblW w:w="5000" w:type="pct"/>
        <w:tblCellMar>
          <w:left w:w="60" w:type="dxa"/>
          <w:top w:w="32" w:type="dxa"/>
          <w:right w:w="60" w:type="dxa"/>
          <w:bottom w:w="32" w:type="dxa"/>
        </w:tblCellMar>
        <w:tblBorders>
          <w:top w:val="single" w:color="a8d08d" w:sz="4" w:space="0"/>
          <w:left w:val="single" w:color="a8d08d" w:sz="4" w:space="0"/>
          <w:bottom w:val="single" w:color="a8d08d" w:sz="4" w:space="0"/>
          <w:right w:val="single" w:color="a8d08d" w:sz="4" w:space="0"/>
          <w:insideH w:val="single" w:color="a8d08d" w:sz="4" w:space="0"/>
          <w:insideV w:val="single" w:color="a8d08d" w:sz="4" w:space="0"/>
        </w:tblBorders>
        <w:tblLayout w:type="fixed"/>
        <w:tblLook w:val="04A0" w:firstRow="1" w:lastRow="0" w:firstColumn="1" w:lastColumn="0" w:noHBand="0" w:noVBand="1"/>
      </w:tblPr>
      <w:tblGrid>
        <w:gridCol w:w="4300"/>
        <w:gridCol w:w="3100"/>
        <w:gridCol w:w="1600"/>
      </w:tblGrid>
      <w:tr>
        <w:trPr>
          <w:cantSplit/>
          <w:tblHeader/>
        </w:trPr>
        <w:tc>
          <w:tcPr>
            <w:shd w:val="clear" w:color="auto" w:fill="e2efd9"/>
            <w:tcBorders/>
            <w:tcW w:w="4300" w:type="dxa"/>
            <w:vAlign w:val="center"/>
          </w:tcPr>
          <w:p>
            <w:pPr>
              <w:pStyle w:val="720"/>
              <w:pBdr/>
              <w:spacing/>
              <w:ind/>
              <w:jc w:val="center"/>
              <w:rPr/>
            </w:pPr>
            <w:r>
              <w:rPr>
                <w:b/>
                <w:sz w:val="18"/>
              </w:rPr>
              <w:t xml:space="preserve">Indicador</w:t>
            </w:r>
            <w:r/>
          </w:p>
        </w:tc>
        <w:tc>
          <w:tcPr>
            <w:shd w:val="clear" w:color="auto" w:fill="e2efd9"/>
            <w:tcBorders/>
            <w:tcW w:w="3100" w:type="dxa"/>
            <w:vAlign w:val="center"/>
          </w:tcPr>
          <w:p>
            <w:pPr>
              <w:pStyle w:val="720"/>
              <w:pBdr/>
              <w:spacing/>
              <w:ind/>
              <w:jc w:val="center"/>
              <w:rPr/>
            </w:pPr>
            <w:r>
              <w:rPr>
                <w:b/>
                <w:sz w:val="18"/>
              </w:rPr>
              <w:t xml:space="preserve">Cifra</w:t>
            </w:r>
            <w:r/>
          </w:p>
        </w:tc>
        <w:tc>
          <w:tcPr>
            <w:shd w:val="clear" w:color="auto" w:fill="e2efd9"/>
            <w:tcBorders/>
            <w:tcW w:w="1600" w:type="dxa"/>
            <w:vAlign w:val="center"/>
          </w:tcPr>
          <w:p>
            <w:pPr>
              <w:pStyle w:val="720"/>
              <w:pBdr/>
              <w:spacing/>
              <w:ind/>
              <w:jc w:val="center"/>
              <w:rPr/>
            </w:pPr>
            <w:r>
              <w:rPr>
                <w:b/>
                <w:sz w:val="18"/>
              </w:rPr>
              <w:t xml:space="preserve">Celda de origen</w:t>
            </w:r>
            <w:r/>
          </w:p>
        </w:tc>
      </w:tr>
      <w:tr>
        <w:trPr/>
        <w:tc>
          <w:tcPr>
            <w:tcBorders/>
            <w:tcW w:w="4300" w:type="dxa"/>
            <w:vAlign w:val="center"/>
          </w:tcPr>
          <w:p>
            <w:pPr>
              <w:pStyle w:val="721"/>
              <w:pBdr/>
              <w:spacing/>
              <w:ind/>
              <w:jc w:val="left"/>
              <w:rPr/>
            </w:pPr>
            <w:r>
              <w:rPr>
                <w:sz w:val="18"/>
              </w:rPr>
              <w:t xml:space="preserve">Nivel de los embalses (2026-10-22)</w:t>
            </w:r>
            <w:r/>
          </w:p>
        </w:tc>
        <w:tc>
          <w:tcPr>
            <w:tcBorders/>
            <w:tcW w:w="3100" w:type="dxa"/>
            <w:vAlign w:val="center"/>
          </w:tcPr>
          <w:p>
            <w:pPr>
              <w:pStyle w:val="721"/>
              <w:pBdr/>
              <w:spacing/>
              <w:ind/>
              <w:jc w:val="left"/>
              <w:rPr/>
            </w:pPr>
            <w:r>
              <w:rPr>
                <w:sz w:val="18"/>
              </w:rPr>
              <w:t xml:space="preserve">76,6 % — faltan 3,4 puntos para la meta del 80 %</w:t>
            </w:r>
            <w:r/>
          </w:p>
        </w:tc>
        <w:tc>
          <w:tcPr>
            <w:tcBorders/>
            <w:tcW w:w="1600" w:type="dxa"/>
            <w:vAlign w:val="center"/>
          </w:tcPr>
          <w:p>
            <w:pPr>
              <w:pStyle w:val="721"/>
              <w:pBdr/>
              <w:spacing/>
              <w:ind/>
              <w:jc w:val="left"/>
              <w:rPr/>
            </w:pPr>
            <w:r>
              <w:rPr>
                <w:sz w:val="18"/>
              </w:rPr>
              <w:t xml:space="preserve">4.2</w:t>
            </w:r>
            <w:r/>
          </w:p>
        </w:tc>
      </w:tr>
      <w:tr>
        <w:trPr/>
        <w:tc>
          <w:tcPr>
            <w:tcBorders/>
            <w:tcW w:w="4300" w:type="dxa"/>
            <w:vAlign w:val="center"/>
          </w:tcPr>
          <w:p>
            <w:pPr>
              <w:pStyle w:val="721"/>
              <w:pBdr/>
              <w:spacing/>
              <w:ind/>
              <w:jc w:val="left"/>
              <w:rPr/>
            </w:pPr>
            <w:r>
              <w:rPr>
                <w:sz w:val="18"/>
              </w:rPr>
              <w:t xml:space="preserve">Nivel más bajo de 2024</w:t>
            </w:r>
            <w:r/>
          </w:p>
        </w:tc>
        <w:tc>
          <w:tcPr>
            <w:tcBorders/>
            <w:tcW w:w="3100" w:type="dxa"/>
            <w:vAlign w:val="center"/>
          </w:tcPr>
          <w:p>
            <w:pPr>
              <w:pStyle w:val="721"/>
              <w:pBdr/>
              <w:spacing/>
              <w:ind/>
              <w:jc w:val="left"/>
              <w:rPr/>
            </w:pPr>
            <w:r>
              <w:rPr>
                <w:sz w:val="18"/>
              </w:rPr>
              <w:t xml:space="preserve">28,6 % el 18-04-2024</w:t>
            </w:r>
            <w:r/>
          </w:p>
        </w:tc>
        <w:tc>
          <w:tcPr>
            <w:tcBorders/>
            <w:tcW w:w="1600" w:type="dxa"/>
            <w:vAlign w:val="center"/>
          </w:tcPr>
          <w:p>
            <w:pPr>
              <w:pStyle w:val="721"/>
              <w:pBdr/>
              <w:spacing/>
              <w:ind/>
              <w:jc w:val="left"/>
              <w:rPr/>
            </w:pPr>
            <w:r>
              <w:rPr>
                <w:sz w:val="18"/>
              </w:rPr>
              <w:t xml:space="preserve">4.2</w:t>
            </w:r>
            <w:r/>
          </w:p>
        </w:tc>
      </w:tr>
      <w:tr>
        <w:trPr/>
        <w:tc>
          <w:tcPr>
            <w:tcBorders/>
            <w:tcW w:w="4300" w:type="dxa"/>
            <w:vAlign w:val="center"/>
          </w:tcPr>
          <w:p>
            <w:pPr>
              <w:pStyle w:val="721"/>
              <w:pBdr/>
              <w:spacing/>
              <w:ind/>
              <w:jc w:val="left"/>
              <w:rPr/>
            </w:pPr>
            <w:r>
              <w:rPr>
                <w:sz w:val="18"/>
              </w:rPr>
              <w:t xml:space="preserve">Día de precio más alto del periodo</w:t>
            </w:r>
            <w:r/>
          </w:p>
        </w:tc>
        <w:tc>
          <w:tcPr>
            <w:tcBorders/>
            <w:tcW w:w="3100" w:type="dxa"/>
            <w:vAlign w:val="center"/>
          </w:tcPr>
          <w:p>
            <w:pPr>
              <w:pStyle w:val="721"/>
              <w:pBdr/>
              <w:spacing/>
              <w:ind/>
              <w:jc w:val="left"/>
              <w:rPr/>
            </w:pPr>
            <w:r>
              <w:rPr>
                <w:sz w:val="18"/>
              </w:rPr>
              <w:t xml:space="preserve">30-09-2024, COP 2.499/kWh (promedio de 24 h)</w:t>
            </w:r>
            <w:r/>
          </w:p>
        </w:tc>
        <w:tc>
          <w:tcPr>
            <w:tcBorders/>
            <w:tcW w:w="1600" w:type="dxa"/>
            <w:vAlign w:val="center"/>
          </w:tcPr>
          <w:p>
            <w:pPr>
              <w:pStyle w:val="721"/>
              <w:pBdr/>
              <w:spacing/>
              <w:ind/>
              <w:jc w:val="left"/>
              <w:rPr/>
            </w:pPr>
            <w:r>
              <w:rPr>
                <w:sz w:val="18"/>
              </w:rPr>
              <w:t xml:space="preserve">5.2</w:t>
            </w:r>
            <w:r/>
          </w:p>
        </w:tc>
      </w:tr>
      <w:tr>
        <w:trPr/>
        <w:tc>
          <w:tcPr>
            <w:tcBorders/>
            <w:tcW w:w="4300" w:type="dxa"/>
            <w:vAlign w:val="center"/>
          </w:tcPr>
          <w:p>
            <w:pPr>
              <w:pStyle w:val="721"/>
              <w:pBdr/>
              <w:spacing/>
              <w:ind/>
              <w:jc w:val="left"/>
              <w:rPr/>
            </w:pPr>
            <w:r>
              <w:rPr>
                <w:sz w:val="18"/>
              </w:rPr>
              <w:t xml:space="preserve">Precio de septiembre de 2026 frente a enero de 2026</w:t>
            </w:r>
            <w:r/>
          </w:p>
        </w:tc>
        <w:tc>
          <w:tcPr>
            <w:tcBorders/>
            <w:tcW w:w="3100" w:type="dxa"/>
            <w:vAlign w:val="center"/>
          </w:tcPr>
          <w:p>
            <w:pPr>
              <w:pStyle w:val="721"/>
              <w:pBdr/>
              <w:spacing/>
              <w:ind/>
              <w:jc w:val="left"/>
              <w:rPr/>
            </w:pPr>
            <w:r>
              <w:rPr>
                <w:sz w:val="18"/>
              </w:rPr>
              <w:t xml:space="preserve">+219 %</w:t>
            </w:r>
            <w:r/>
          </w:p>
        </w:tc>
        <w:tc>
          <w:tcPr>
            <w:tcBorders/>
            <w:tcW w:w="1600" w:type="dxa"/>
            <w:vAlign w:val="center"/>
          </w:tcPr>
          <w:p>
            <w:pPr>
              <w:pStyle w:val="721"/>
              <w:pBdr/>
              <w:spacing/>
              <w:ind/>
              <w:jc w:val="left"/>
              <w:rPr/>
            </w:pPr>
            <w:r>
              <w:rPr>
                <w:sz w:val="18"/>
              </w:rPr>
              <w:t xml:space="preserve">5.2</w:t>
            </w:r>
            <w:r/>
          </w:p>
        </w:tc>
      </w:tr>
      <w:tr>
        <w:trPr/>
        <w:tc>
          <w:tcPr>
            <w:tcBorders/>
            <w:tcW w:w="4300" w:type="dxa"/>
            <w:vAlign w:val="center"/>
          </w:tcPr>
          <w:p>
            <w:pPr>
              <w:pStyle w:val="721"/>
              <w:pBdr/>
              <w:spacing/>
              <w:ind/>
              <w:jc w:val="left"/>
              <w:rPr/>
            </w:pPr>
            <w:r>
              <w:rPr>
                <w:sz w:val="18"/>
              </w:rPr>
              <w:t xml:space="preserve">Demanda: domingo frente a viernes</w:t>
            </w:r>
            <w:r/>
          </w:p>
        </w:tc>
        <w:tc>
          <w:tcPr>
            <w:tcBorders/>
            <w:tcW w:w="3100" w:type="dxa"/>
            <w:vAlign w:val="center"/>
          </w:tcPr>
          <w:p>
            <w:pPr>
              <w:pStyle w:val="721"/>
              <w:pBdr/>
              <w:spacing/>
              <w:ind/>
              <w:jc w:val="left"/>
              <w:rPr/>
            </w:pPr>
            <w:r>
              <w:rPr>
                <w:sz w:val="18"/>
              </w:rPr>
              <w:t xml:space="preserve">−14,7 % (203,90 GWh frente a 233,80 GWh)</w:t>
            </w:r>
            <w:r/>
          </w:p>
        </w:tc>
        <w:tc>
          <w:tcPr>
            <w:tcBorders/>
            <w:tcW w:w="1600" w:type="dxa"/>
            <w:vAlign w:val="center"/>
          </w:tcPr>
          <w:p>
            <w:pPr>
              <w:pStyle w:val="721"/>
              <w:pBdr/>
              <w:spacing/>
              <w:ind/>
              <w:jc w:val="left"/>
              <w:rPr/>
            </w:pPr>
            <w:r>
              <w:rPr>
                <w:sz w:val="18"/>
              </w:rPr>
              <w:t xml:space="preserve">2.2</w:t>
            </w:r>
            <w:r/>
          </w:p>
        </w:tc>
      </w:tr>
      <w:tr>
        <w:trPr/>
        <w:tc>
          <w:tcPr>
            <w:tcBorders/>
            <w:tcW w:w="4300" w:type="dxa"/>
            <w:vAlign w:val="center"/>
          </w:tcPr>
          <w:p>
            <w:pPr>
              <w:pStyle w:val="721"/>
              <w:pBdr/>
              <w:spacing/>
              <w:ind/>
              <w:jc w:val="left"/>
              <w:rPr/>
            </w:pPr>
            <w:r>
              <w:rPr>
                <w:sz w:val="18"/>
              </w:rPr>
              <w:t xml:space="preserve">Última variación interanual de la demanda</w:t>
            </w:r>
            <w:r/>
          </w:p>
        </w:tc>
        <w:tc>
          <w:tcPr>
            <w:tcBorders/>
            <w:tcW w:w="3100" w:type="dxa"/>
            <w:vAlign w:val="center"/>
          </w:tcPr>
          <w:p>
            <w:pPr>
              <w:pStyle w:val="721"/>
              <w:pBdr/>
              <w:spacing/>
              <w:ind/>
              <w:jc w:val="left"/>
              <w:rPr/>
            </w:pPr>
            <w:r>
              <w:rPr>
                <w:sz w:val="18"/>
              </w:rPr>
              <w:t xml:space="preserve">+5,87 % (sept-2026 frente a sept-2025)</w:t>
            </w:r>
            <w:r/>
          </w:p>
        </w:tc>
        <w:tc>
          <w:tcPr>
            <w:tcBorders/>
            <w:tcW w:w="1600" w:type="dxa"/>
            <w:vAlign w:val="center"/>
          </w:tcPr>
          <w:p>
            <w:pPr>
              <w:pStyle w:val="721"/>
              <w:pBdr/>
              <w:spacing/>
              <w:ind/>
              <w:jc w:val="left"/>
              <w:rPr/>
            </w:pPr>
            <w:r>
              <w:rPr>
                <w:sz w:val="18"/>
              </w:rPr>
              <w:t xml:space="preserve">3.1</w:t>
            </w:r>
            <w:r/>
          </w:p>
        </w:tc>
      </w:tr>
      <w:tr>
        <w:trPr/>
        <w:tc>
          <w:tcPr>
            <w:tcBorders/>
            <w:tcW w:w="4300" w:type="dxa"/>
            <w:vAlign w:val="center"/>
          </w:tcPr>
          <w:p>
            <w:pPr>
              <w:pStyle w:val="721"/>
              <w:pBdr/>
              <w:spacing/>
              <w:ind/>
              <w:jc w:val="left"/>
              <w:rPr/>
            </w:pPr>
            <w:r>
              <w:rPr>
                <w:sz w:val="18"/>
              </w:rPr>
              <w:t xml:space="preserve">Correlación de Spearman embalses–precio</w:t>
            </w:r>
            <w:r/>
          </w:p>
        </w:tc>
        <w:tc>
          <w:tcPr>
            <w:tcBorders/>
            <w:tcW w:w="3100" w:type="dxa"/>
            <w:vAlign w:val="center"/>
          </w:tcPr>
          <w:p>
            <w:pPr>
              <w:pStyle w:val="721"/>
              <w:pBdr/>
              <w:spacing/>
              <w:ind/>
              <w:jc w:val="left"/>
              <w:rPr/>
            </w:pPr>
            <w:r>
              <w:rPr>
                <w:sz w:val="18"/>
              </w:rPr>
              <w:t xml:space="preserve">−0,25 (Pearson −0,23)</w:t>
            </w:r>
            <w:r/>
          </w:p>
        </w:tc>
        <w:tc>
          <w:tcPr>
            <w:tcBorders/>
            <w:tcW w:w="1600" w:type="dxa"/>
            <w:vAlign w:val="center"/>
          </w:tcPr>
          <w:p>
            <w:pPr>
              <w:pStyle w:val="721"/>
              <w:pBdr/>
              <w:spacing/>
              <w:ind/>
              <w:jc w:val="left"/>
              <w:rPr/>
            </w:pPr>
            <w:r>
              <w:rPr>
                <w:sz w:val="18"/>
              </w:rPr>
              <w:t xml:space="preserve">6.2</w:t>
            </w:r>
            <w:r/>
          </w:p>
        </w:tc>
      </w:tr>
    </w:tbl>
    <w:p>
      <w:pPr>
        <w:pStyle w:val="707"/>
        <w:pBdr/>
        <w:spacing w:after="0" w:before="0" w:line="120" w:lineRule="auto"/>
        <w:ind/>
        <w:rPr/>
      </w:pPr>
      <w:r/>
      <w:r/>
    </w:p>
    <w:p>
      <w:pPr>
        <w:pStyle w:val="708"/>
        <w:pBdr/>
        <w:spacing/>
        <w:ind/>
        <w:rPr/>
      </w:pPr>
      <w:r>
        <w:rPr>
          <w:sz w:val="28"/>
        </w:rPr>
        <w:t xml:space="preserve">1. Misión 0 · Arranque, entorno y datos</w:t>
      </w:r>
      <w:r/>
    </w:p>
    <w:p>
      <w:pPr>
        <w:pStyle w:val="707"/>
        <w:pBdr/>
        <w:spacing/>
        <w:ind/>
        <w:rPr/>
      </w:pPr>
      <w:r>
        <w:rPr>
          <w:sz w:val="22"/>
        </w:rPr>
        <w:t xml:space="preserve">La Misión 0 la resolvió todo el equipo y es la base de las ocho misiones siguientes. La celda 0.4 abre la conexión con la API pública de XM y descarga su catálogo de 193 métricas; su función </w:t>
      </w:r>
      <w:r>
        <w:rPr>
          <w:rFonts w:ascii="Consolas" w:hAnsi="Consolas" w:cs="Consolas"/>
          <w:sz w:val="22"/>
        </w:rPr>
        <w:t xml:space="preserve">buscar()</w:t>
      </w:r>
      <w:r>
        <w:rPr>
          <w:sz w:val="22"/>
        </w:rPr>
        <w:t xml:space="preserve"> permite verificar cualquier identificador cuando un nombre cambia, y fue la que confirmó la unidad del precio de bolsa que la IA había alucinado en la Misión 5. La celda 0.5 define </w:t>
      </w:r>
      <w:r>
        <w:rPr>
          <w:rFonts w:ascii="Consolas" w:hAnsi="Consolas" w:cs="Consolas"/>
          <w:sz w:val="22"/>
        </w:rPr>
        <w:t xml:space="preserve">descargar_diario()</w:t>
      </w:r>
      <w:r>
        <w:rPr>
          <w:sz w:val="22"/>
        </w:rPr>
        <w:t xml:space="preserve">, que pide a XM las 24 horas de cada día y, según el parámetro </w:t>
      </w:r>
      <w:r>
        <w:rPr>
          <w:rFonts w:ascii="Consolas" w:hAnsi="Consolas" w:cs="Consolas"/>
          <w:sz w:val="22"/>
        </w:rPr>
        <w:t xml:space="preserve">como</w:t>
      </w:r>
      <w:r>
        <w:rPr>
          <w:sz w:val="22"/>
        </w:rPr>
        <w:t xml:space="preserve">, las suma o las promedia antes de agrupar por fecha. La celda 0.6 descarga las cuatro series desde 2022: 1.758 filas, del 2022-01-01 al 2026-10-24, en </w:t>
      </w:r>
      <w:r>
        <w:rPr>
          <w:rFonts w:ascii="Consolas" w:hAnsi="Consolas" w:cs="Consolas"/>
          <w:sz w:val="22"/>
        </w:rPr>
        <w:t xml:space="preserve">datos/xm_diario.csv</w:t>
      </w:r>
      <w:r>
        <w:rPr>
          <w:sz w:val="22"/>
        </w:rPr>
        <w:t xml:space="preserve">.</w:t>
      </w:r>
      <w:r/>
    </w:p>
    <w:p>
      <w:pPr>
        <w:pStyle w:val="707"/>
        <w:pBdr/>
        <w:spacing/>
        <w:ind/>
        <w:rPr/>
      </w:pPr>
      <w:r>
        <w:rPr>
          <w:sz w:val="22"/>
        </w:rPr>
        <w:t xml:space="preserve">Los dos errores sembrados están en la celda 0.3, la de calentamiento de tipos de dato. El primero era el precio máximo de septiembre escrito entre comillas ("1513"), de modo que la varia</w:t>
      </w:r>
      <w:r>
        <w:rPr>
          <w:sz w:val="22"/>
        </w:rPr>
        <w:t xml:space="preserve">ble era texto y no número, y la verificación ✅ 0.1 se ponía en rojo. El segundo era la clave del diccionario de métricas de XM, escrita con mayúscula inicial. Ambos quedaron corregidos con el comentario # CORREGIDO firmado por Heriberto Valencia (Anexo B).</w:t>
      </w:r>
      <w:r/>
    </w:p>
    <w:p>
      <w:pPr>
        <w:pStyle w:val="719"/>
        <w:pBdr/>
        <w:spacing/>
        <w:ind/>
        <w:rPr/>
      </w:pPr>
      <w:r>
        <w:rPr>
          <w:b/>
        </w:rPr>
        <w:t xml:space="preserve">Tabla 4.</w:t>
      </w:r>
      <w:r>
        <w:rPr>
          <w:i/>
        </w:rPr>
        <w:t xml:space="preserve">  Lo que dejó la Misión 0</w:t>
      </w:r>
      <w:r/>
    </w:p>
    <w:tbl>
      <w:tblPr>
        <w:tblW w:w="5000" w:type="pct"/>
        <w:tblCellMar>
          <w:left w:w="60" w:type="dxa"/>
          <w:top w:w="32" w:type="dxa"/>
          <w:right w:w="60" w:type="dxa"/>
          <w:bottom w:w="32" w:type="dxa"/>
        </w:tblCellMar>
        <w:tblBorders>
          <w:top w:val="single" w:color="a8d08d" w:sz="4" w:space="0"/>
          <w:left w:val="single" w:color="a8d08d" w:sz="4" w:space="0"/>
          <w:bottom w:val="single" w:color="a8d08d" w:sz="4" w:space="0"/>
          <w:right w:val="single" w:color="a8d08d" w:sz="4" w:space="0"/>
          <w:insideH w:val="single" w:color="a8d08d" w:sz="4" w:space="0"/>
          <w:insideV w:val="single" w:color="a8d08d" w:sz="4" w:space="0"/>
        </w:tblBorders>
        <w:tblLayout w:type="fixed"/>
        <w:tblLook w:val="04A0" w:firstRow="1" w:lastRow="0" w:firstColumn="1" w:lastColumn="0" w:noHBand="0" w:noVBand="1"/>
      </w:tblPr>
      <w:tblGrid>
        <w:gridCol w:w="2400"/>
        <w:gridCol w:w="6600"/>
      </w:tblGrid>
      <w:tr>
        <w:trPr>
          <w:cantSplit/>
          <w:tblHeader/>
        </w:trPr>
        <w:tc>
          <w:tcPr>
            <w:shd w:val="clear" w:color="auto" w:fill="e2efd9"/>
            <w:tcBorders/>
            <w:tcW w:w="2400" w:type="dxa"/>
            <w:vAlign w:val="center"/>
          </w:tcPr>
          <w:p>
            <w:pPr>
              <w:pStyle w:val="720"/>
              <w:pBdr/>
              <w:spacing/>
              <w:ind/>
              <w:jc w:val="center"/>
              <w:rPr/>
            </w:pPr>
            <w:r>
              <w:rPr>
                <w:b/>
                <w:sz w:val="18"/>
              </w:rPr>
              <w:t xml:space="preserve">Elemento</w:t>
            </w:r>
            <w:r/>
          </w:p>
        </w:tc>
        <w:tc>
          <w:tcPr>
            <w:shd w:val="clear" w:color="auto" w:fill="e2efd9"/>
            <w:tcBorders/>
            <w:tcW w:w="6600" w:type="dxa"/>
            <w:vAlign w:val="center"/>
          </w:tcPr>
          <w:p>
            <w:pPr>
              <w:pStyle w:val="720"/>
              <w:pBdr/>
              <w:spacing/>
              <w:ind/>
              <w:jc w:val="center"/>
              <w:rPr/>
            </w:pPr>
            <w:r>
              <w:rPr>
                <w:b/>
                <w:sz w:val="18"/>
              </w:rPr>
              <w:t xml:space="preserve">Resultado verificado</w:t>
            </w:r>
            <w:r/>
          </w:p>
        </w:tc>
      </w:tr>
      <w:tr>
        <w:trPr/>
        <w:tc>
          <w:tcPr>
            <w:tcBorders/>
            <w:tcW w:w="2400" w:type="dxa"/>
            <w:vAlign w:val="center"/>
          </w:tcPr>
          <w:p>
            <w:pPr>
              <w:pStyle w:val="721"/>
              <w:pBdr/>
              <w:spacing/>
              <w:ind/>
              <w:jc w:val="left"/>
              <w:rPr/>
            </w:pPr>
            <w:r>
              <w:rPr>
                <w:sz w:val="18"/>
              </w:rPr>
              <w:t xml:space="preserve">Entorno</w:t>
            </w:r>
            <w:r/>
          </w:p>
        </w:tc>
        <w:tc>
          <w:tcPr>
            <w:tcBorders/>
            <w:tcW w:w="6600" w:type="dxa"/>
            <w:vAlign w:val="center"/>
          </w:tcPr>
          <w:p>
            <w:pPr>
              <w:pStyle w:val="721"/>
              <w:pBdr/>
              <w:spacing/>
              <w:ind/>
              <w:jc w:val="left"/>
              <w:rPr/>
            </w:pPr>
            <w:r>
              <w:rPr>
                <w:sz w:val="18"/>
              </w:rPr>
              <w:t xml:space="preserve">Python 3.12 · VS Code · extensión Jupyter · kernel reiniciado y «Ejecutar todo»</w:t>
            </w:r>
            <w:r/>
          </w:p>
        </w:tc>
      </w:tr>
      <w:tr>
        <w:trPr/>
        <w:tc>
          <w:tcPr>
            <w:tcBorders/>
            <w:tcW w:w="2400" w:type="dxa"/>
            <w:vAlign w:val="center"/>
          </w:tcPr>
          <w:p>
            <w:pPr>
              <w:pStyle w:val="721"/>
              <w:pBdr/>
              <w:spacing/>
              <w:ind/>
              <w:jc w:val="left"/>
              <w:rPr/>
            </w:pPr>
            <w:r>
              <w:rPr>
                <w:sz w:val="18"/>
              </w:rPr>
              <w:t xml:space="preserve">Conexión con la API</w:t>
            </w:r>
            <w:r/>
          </w:p>
        </w:tc>
        <w:tc>
          <w:tcPr>
            <w:tcBorders/>
            <w:tcW w:w="6600" w:type="dxa"/>
            <w:vAlign w:val="center"/>
          </w:tcPr>
          <w:p>
            <w:pPr>
              <w:pStyle w:val="721"/>
              <w:pBdr/>
              <w:spacing/>
              <w:ind/>
              <w:jc w:val="left"/>
              <w:rPr/>
            </w:pPr>
            <w:r>
              <w:rPr>
                <w:sz w:val="18"/>
              </w:rPr>
              <w:t xml:space="preserve">Catálogo de XM descargado: 193 métricas (celda 0.4)</w:t>
            </w:r>
            <w:r/>
          </w:p>
        </w:tc>
      </w:tr>
      <w:tr>
        <w:trPr/>
        <w:tc>
          <w:tcPr>
            <w:tcBorders/>
            <w:tcW w:w="2400" w:type="dxa"/>
            <w:vAlign w:val="center"/>
          </w:tcPr>
          <w:p>
            <w:pPr>
              <w:pStyle w:val="721"/>
              <w:pBdr/>
              <w:spacing/>
              <w:ind/>
              <w:jc w:val="left"/>
              <w:rPr/>
            </w:pPr>
            <w:r>
              <w:rPr>
                <w:sz w:val="18"/>
              </w:rPr>
              <w:t xml:space="preserve">Series descargadas</w:t>
            </w:r>
            <w:r/>
          </w:p>
        </w:tc>
        <w:tc>
          <w:tcPr>
            <w:tcBorders/>
            <w:tcW w:w="6600" w:type="dxa"/>
            <w:vAlign w:val="center"/>
          </w:tcPr>
          <w:p>
            <w:pPr>
              <w:pStyle w:val="721"/>
              <w:pBdr/>
              <w:spacing/>
              <w:ind/>
              <w:jc w:val="left"/>
              <w:rPr/>
            </w:pPr>
            <w:r>
              <w:rPr>
                <w:sz w:val="18"/>
              </w:rPr>
              <w:t xml:space="preserve">4: demanda (DemaCome), precio (PrecBolsNaci), volumen (VoluUtilDiarEner) y capacidad (CapaUtilDiarEner)</w:t>
            </w:r>
            <w:r/>
          </w:p>
        </w:tc>
      </w:tr>
      <w:tr>
        <w:trPr/>
        <w:tc>
          <w:tcPr>
            <w:tcBorders/>
            <w:tcW w:w="2400" w:type="dxa"/>
            <w:vAlign w:val="center"/>
          </w:tcPr>
          <w:p>
            <w:pPr>
              <w:pStyle w:val="721"/>
              <w:pBdr/>
              <w:spacing/>
              <w:ind/>
              <w:jc w:val="left"/>
              <w:rPr/>
            </w:pPr>
            <w:r>
              <w:rPr>
                <w:sz w:val="18"/>
              </w:rPr>
              <w:t xml:space="preserve">Periodo y tamaño</w:t>
            </w:r>
            <w:r/>
          </w:p>
        </w:tc>
        <w:tc>
          <w:tcPr>
            <w:tcBorders/>
            <w:tcW w:w="6600" w:type="dxa"/>
            <w:vAlign w:val="center"/>
          </w:tcPr>
          <w:p>
            <w:pPr>
              <w:pStyle w:val="721"/>
              <w:pBdr/>
              <w:spacing/>
              <w:ind/>
              <w:jc w:val="left"/>
              <w:rPr/>
            </w:pPr>
            <w:r>
              <w:rPr>
                <w:sz w:val="18"/>
              </w:rPr>
              <w:t xml:space="preserve">1.758 filas, del 2022-01-01 al 2026-10-24; archivo datos/xm_diario.csv</w:t>
            </w:r>
            <w:r/>
          </w:p>
        </w:tc>
      </w:tr>
      <w:tr>
        <w:trPr/>
        <w:tc>
          <w:tcPr>
            <w:tcBorders/>
            <w:tcW w:w="2400" w:type="dxa"/>
            <w:vAlign w:val="center"/>
          </w:tcPr>
          <w:p>
            <w:pPr>
              <w:pStyle w:val="721"/>
              <w:pBdr/>
              <w:spacing/>
              <w:ind/>
              <w:jc w:val="left"/>
              <w:rPr/>
            </w:pPr>
            <w:r>
              <w:rPr>
                <w:sz w:val="18"/>
              </w:rPr>
              <w:t xml:space="preserve">Errores corregidos y verificaciones</w:t>
            </w:r>
            <w:r/>
          </w:p>
        </w:tc>
        <w:tc>
          <w:tcPr>
            <w:tcBorders/>
            <w:tcW w:w="6600" w:type="dxa"/>
            <w:vAlign w:val="center"/>
          </w:tcPr>
          <w:p>
            <w:pPr>
              <w:pStyle w:val="721"/>
              <w:pBdr/>
              <w:spacing/>
              <w:ind/>
              <w:jc w:val="left"/>
              <w:rPr/>
            </w:pPr>
            <w:r>
              <w:rPr>
                <w:sz w:val="18"/>
              </w:rPr>
              <w:t xml:space="preserve">2 errores en la celda 0.3, documentados con # CORREGIDO · ✅ 0.1, ✅ 0.2 y ✅ 0.3 en verde</w:t>
            </w:r>
            <w:r/>
          </w:p>
        </w:tc>
      </w:tr>
    </w:tbl>
    <w:p>
      <w:pPr>
        <w:pStyle w:val="707"/>
        <w:pBdr/>
        <w:spacing w:after="0" w:before="0" w:line="120" w:lineRule="auto"/>
        <w:ind/>
        <w:rPr/>
      </w:pPr>
      <w:r/>
      <w:r/>
    </w:p>
    <w:p>
      <w:pPr>
        <w:pStyle w:val="708"/>
        <w:pBdr/>
        <w:spacing/>
        <w:ind/>
        <w:rPr/>
      </w:pPr>
      <w:r>
        <w:rPr>
          <w:sz w:val="28"/>
        </w:rPr>
        <w:t xml:space="preserve">2. Pregunta 1 · ¿Podemos confiar en los datos que llegaron de la API?</w:t>
      </w:r>
      <w:r/>
    </w:p>
    <w:p>
      <w:pPr>
        <w:pStyle w:val="715"/>
        <w:pBdr/>
        <w:spacing/>
        <w:ind/>
        <w:rPr/>
      </w:pPr>
      <w:r>
        <w:rPr>
          <w:sz w:val="19"/>
        </w:rPr>
        <w:t xml:space="preserve">Responsable: Liz Blanco (ING) · Revisó: Heriberto Valencia (PRG) · Cuaderno: Misión 1, celdas 1.1 y 1.2</w:t>
      </w:r>
      <w:r/>
    </w:p>
    <w:p>
      <w:pPr>
        <w:pStyle w:val="719"/>
        <w:pBdr/>
        <w:spacing/>
        <w:ind/>
        <w:rPr/>
      </w:pPr>
      <w:r>
        <w:rPr>
          <w:b/>
        </w:rPr>
        <w:t xml:space="preserve">Tabla 5.</w:t>
      </w:r>
      <w:r>
        <w:rPr>
          <w:i/>
        </w:rPr>
        <w:t xml:space="preserve">  Afirmaciones evaluadas en la Pregunta 1</w:t>
      </w:r>
      <w:r/>
    </w:p>
    <w:tbl>
      <w:tblPr>
        <w:tblW w:w="5000" w:type="pct"/>
        <w:tblCellMar>
          <w:left w:w="60" w:type="dxa"/>
          <w:top w:w="32" w:type="dxa"/>
          <w:right w:w="60" w:type="dxa"/>
          <w:bottom w:w="32" w:type="dxa"/>
        </w:tblCellMar>
        <w:tblBorders>
          <w:top w:val="single" w:color="a8d08d" w:sz="4" w:space="0"/>
          <w:left w:val="single" w:color="a8d08d" w:sz="4" w:space="0"/>
          <w:bottom w:val="single" w:color="a8d08d" w:sz="4" w:space="0"/>
          <w:right w:val="single" w:color="a8d08d" w:sz="4" w:space="0"/>
          <w:insideH w:val="single" w:color="a8d08d" w:sz="4" w:space="0"/>
          <w:insideV w:val="single" w:color="a8d08d" w:sz="4" w:space="0"/>
        </w:tblBorders>
        <w:tblLayout w:type="fixed"/>
        <w:tblLook w:val="04A0" w:firstRow="1" w:lastRow="0" w:firstColumn="1" w:lastColumn="0" w:noHBand="0" w:noVBand="1"/>
      </w:tblPr>
      <w:tblGrid>
        <w:gridCol w:w="300"/>
        <w:gridCol w:w="2600"/>
        <w:gridCol w:w="1300"/>
        <w:gridCol w:w="4800"/>
      </w:tblGrid>
      <w:tr>
        <w:trPr>
          <w:cantSplit/>
          <w:tblHeader/>
        </w:trPr>
        <w:tc>
          <w:tcPr>
            <w:shd w:val="clear" w:color="auto" w:fill="e2efd9"/>
            <w:tcBorders/>
            <w:tcW w:w="300" w:type="dxa"/>
            <w:vAlign w:val="center"/>
          </w:tcPr>
          <w:p>
            <w:pPr>
              <w:pStyle w:val="720"/>
              <w:pBdr/>
              <w:spacing/>
              <w:ind/>
              <w:jc w:val="center"/>
              <w:rPr/>
            </w:pPr>
            <w:r>
              <w:rPr>
                <w:b/>
                <w:sz w:val="15"/>
              </w:rPr>
              <w:t xml:space="preserve">#</w:t>
            </w:r>
            <w:r/>
          </w:p>
        </w:tc>
        <w:tc>
          <w:tcPr>
            <w:shd w:val="clear" w:color="auto" w:fill="e2efd9"/>
            <w:tcBorders/>
            <w:tcW w:w="2600" w:type="dxa"/>
            <w:vAlign w:val="center"/>
          </w:tcPr>
          <w:p>
            <w:pPr>
              <w:pStyle w:val="720"/>
              <w:pBdr/>
              <w:spacing/>
              <w:ind/>
              <w:jc w:val="center"/>
              <w:rPr/>
            </w:pPr>
            <w:r>
              <w:rPr>
                <w:b/>
                <w:sz w:val="15"/>
              </w:rPr>
              <w:t xml:space="preserve">Afirmación</w:t>
            </w:r>
            <w:r/>
          </w:p>
        </w:tc>
        <w:tc>
          <w:tcPr>
            <w:shd w:val="clear" w:color="auto" w:fill="e2efd9"/>
            <w:tcBorders/>
            <w:tcW w:w="1300" w:type="dxa"/>
            <w:vAlign w:val="center"/>
          </w:tcPr>
          <w:p>
            <w:pPr>
              <w:pStyle w:val="720"/>
              <w:pBdr/>
              <w:spacing/>
              <w:ind/>
              <w:jc w:val="center"/>
              <w:rPr/>
            </w:pPr>
            <w:r>
              <w:rPr>
                <w:b/>
                <w:sz w:val="15"/>
              </w:rPr>
              <w:t xml:space="preserve">Veredicto</w:t>
            </w:r>
            <w:r/>
          </w:p>
        </w:tc>
        <w:tc>
          <w:tcPr>
            <w:shd w:val="clear" w:color="auto" w:fill="e2efd9"/>
            <w:tcBorders/>
            <w:tcW w:w="4800" w:type="dxa"/>
            <w:vAlign w:val="center"/>
          </w:tcPr>
          <w:p>
            <w:pPr>
              <w:pStyle w:val="720"/>
              <w:pBdr/>
              <w:spacing/>
              <w:ind/>
              <w:jc w:val="center"/>
              <w:rPr/>
            </w:pPr>
            <w:r>
              <w:rPr>
                <w:b/>
                <w:sz w:val="15"/>
              </w:rPr>
              <w:t xml:space="preserve">Evidencia del cuaderno</w:t>
            </w:r>
            <w:r/>
          </w:p>
        </w:tc>
      </w:tr>
      <w:tr>
        <w:trPr/>
        <w:tc>
          <w:tcPr>
            <w:tcBorders/>
            <w:tcW w:w="300" w:type="dxa"/>
            <w:vAlign w:val="center"/>
          </w:tcPr>
          <w:p>
            <w:pPr>
              <w:pStyle w:val="721"/>
              <w:pBdr/>
              <w:spacing/>
              <w:ind/>
              <w:jc w:val="center"/>
              <w:rPr/>
            </w:pPr>
            <w:r>
              <w:rPr>
                <w:sz w:val="15"/>
              </w:rPr>
              <w:t xml:space="preserve">1</w:t>
            </w:r>
            <w:r/>
          </w:p>
        </w:tc>
        <w:tc>
          <w:tcPr>
            <w:tcBorders/>
            <w:tcW w:w="2600" w:type="dxa"/>
            <w:vAlign w:val="center"/>
          </w:tcPr>
          <w:p>
            <w:pPr>
              <w:pStyle w:val="721"/>
              <w:pBdr/>
              <w:spacing/>
              <w:ind/>
              <w:jc w:val="left"/>
              <w:rPr/>
            </w:pPr>
            <w:r>
              <w:rPr>
                <w:sz w:val="15"/>
              </w:rPr>
              <w:t xml:space="preserve">Como el diagnóstico inicial decía 0 días faltantes, los datos estaban completos.</w:t>
            </w:r>
            <w:r/>
          </w:p>
        </w:tc>
        <w:tc>
          <w:tcPr>
            <w:tcBorders/>
            <w:tcW w:w="1300" w:type="dxa"/>
            <w:vAlign w:val="center"/>
          </w:tcPr>
          <w:p>
            <w:pPr>
              <w:pStyle w:val="721"/>
              <w:pBdr/>
              <w:spacing/>
              <w:ind/>
              <w:jc w:val="center"/>
              <w:rPr/>
            </w:pPr>
            <w:r>
              <w:rPr>
                <w:sz w:val="15"/>
              </w:rPr>
              <w:t xml:space="preserve">No se sostiene</w:t>
            </w:r>
            <w:r/>
          </w:p>
        </w:tc>
        <w:tc>
          <w:tcPr>
            <w:tcBorders/>
            <w:tcW w:w="4800" w:type="dxa"/>
            <w:vAlign w:val="center"/>
          </w:tcPr>
          <w:p>
            <w:pPr>
              <w:pStyle w:val="721"/>
              <w:pBdr/>
              <w:spacing/>
              <w:ind/>
              <w:jc w:val="left"/>
              <w:rPr/>
            </w:pPr>
            <w:r>
              <w:rPr>
                <w:sz w:val="15"/>
              </w:rPr>
              <w:t xml:space="preserve">Celda 1.1: «Días que faltan en el calendario: 0», pero «Datos faltantes: demanda_gwh 2, precio_bolsa 2». El 0 era del calendario, no de los datos; la celda 1.2 deja 1.756 filas de 1.758.</w:t>
            </w:r>
            <w:r/>
          </w:p>
        </w:tc>
      </w:tr>
      <w:tr>
        <w:trPr/>
        <w:tc>
          <w:tcPr>
            <w:tcBorders/>
            <w:tcW w:w="300" w:type="dxa"/>
            <w:vAlign w:val="center"/>
          </w:tcPr>
          <w:p>
            <w:pPr>
              <w:pStyle w:val="721"/>
              <w:pBdr/>
              <w:spacing/>
              <w:ind/>
              <w:jc w:val="center"/>
              <w:rPr/>
            </w:pPr>
            <w:r>
              <w:rPr>
                <w:sz w:val="15"/>
              </w:rPr>
              <w:t xml:space="preserve">2</w:t>
            </w:r>
            <w:r/>
          </w:p>
        </w:tc>
        <w:tc>
          <w:tcPr>
            <w:tcBorders/>
            <w:tcW w:w="2600" w:type="dxa"/>
            <w:vAlign w:val="center"/>
          </w:tcPr>
          <w:p>
            <w:pPr>
              <w:pStyle w:val="721"/>
              <w:pBdr/>
              <w:spacing/>
              <w:ind/>
              <w:jc w:val="left"/>
              <w:rPr/>
            </w:pPr>
            <w:r>
              <w:rPr>
                <w:sz w:val="15"/>
              </w:rPr>
              <w:t xml:space="preserve">Los NaN de los últimos días significan que el país no consumió energía esos días.</w:t>
            </w:r>
            <w:r/>
          </w:p>
        </w:tc>
        <w:tc>
          <w:tcPr>
            <w:tcBorders/>
            <w:tcW w:w="1300" w:type="dxa"/>
            <w:vAlign w:val="center"/>
          </w:tcPr>
          <w:p>
            <w:pPr>
              <w:pStyle w:val="721"/>
              <w:pBdr/>
              <w:spacing/>
              <w:ind/>
              <w:jc w:val="center"/>
              <w:rPr/>
            </w:pPr>
            <w:r>
              <w:rPr>
                <w:sz w:val="15"/>
              </w:rPr>
              <w:t xml:space="preserve">No se sostiene</w:t>
            </w:r>
            <w:r/>
          </w:p>
        </w:tc>
        <w:tc>
          <w:tcPr>
            <w:tcBorders/>
            <w:tcW w:w="4800" w:type="dxa"/>
            <w:vAlign w:val="center"/>
          </w:tcPr>
          <w:p>
            <w:pPr>
              <w:pStyle w:val="721"/>
              <w:pBdr/>
              <w:spacing/>
              <w:ind/>
              <w:jc w:val="left"/>
              <w:rPr/>
            </w:pPr>
            <w:r>
              <w:rPr>
                <w:sz w:val="15"/>
              </w:rPr>
              <w:t xml:space="preserve">Celda 0.6: demanda y precio son NaN solo el 23 y el 24-10-2026; el volumen (13.526,76 GWh) y el embalse (76,58 %) sí tienen dato. Celda 1.2: última fecha completa, 2026-10-22.</w:t>
            </w:r>
            <w:r/>
          </w:p>
        </w:tc>
      </w:tr>
      <w:tr>
        <w:trPr/>
        <w:tc>
          <w:tcPr>
            <w:tcBorders/>
            <w:tcW w:w="300" w:type="dxa"/>
            <w:vAlign w:val="center"/>
          </w:tcPr>
          <w:p>
            <w:pPr>
              <w:pStyle w:val="721"/>
              <w:pBdr/>
              <w:spacing/>
              <w:ind/>
              <w:jc w:val="center"/>
              <w:rPr/>
            </w:pPr>
            <w:r>
              <w:rPr>
                <w:sz w:val="15"/>
              </w:rPr>
              <w:t xml:space="preserve">3</w:t>
            </w:r>
            <w:r/>
          </w:p>
        </w:tc>
        <w:tc>
          <w:tcPr>
            <w:tcBorders/>
            <w:tcW w:w="2600" w:type="dxa"/>
            <w:vAlign w:val="center"/>
          </w:tcPr>
          <w:p>
            <w:pPr>
              <w:pStyle w:val="721"/>
              <w:pBdr/>
              <w:spacing/>
              <w:ind/>
              <w:jc w:val="left"/>
              <w:rPr/>
            </w:pPr>
            <w:r>
              <w:rPr>
                <w:sz w:val="15"/>
              </w:rPr>
              <w:t xml:space="preserve">La función descargar_diario suma las 24 horas del precio para obtener el precio del día.</w:t>
            </w:r>
            <w:r/>
          </w:p>
        </w:tc>
        <w:tc>
          <w:tcPr>
            <w:tcBorders/>
            <w:tcW w:w="1300" w:type="dxa"/>
            <w:vAlign w:val="center"/>
          </w:tcPr>
          <w:p>
            <w:pPr>
              <w:pStyle w:val="721"/>
              <w:pBdr/>
              <w:spacing/>
              <w:ind/>
              <w:jc w:val="center"/>
              <w:rPr/>
            </w:pPr>
            <w:r>
              <w:rPr>
                <w:sz w:val="15"/>
              </w:rPr>
              <w:t xml:space="preserve">No se sostiene</w:t>
            </w:r>
            <w:r/>
          </w:p>
        </w:tc>
        <w:tc>
          <w:tcPr>
            <w:tcBorders/>
            <w:tcW w:w="4800" w:type="dxa"/>
            <w:vAlign w:val="center"/>
          </w:tcPr>
          <w:p>
            <w:pPr>
              <w:pStyle w:val="721"/>
              <w:pBdr/>
              <w:spacing/>
              <w:ind/>
              <w:jc w:val="left"/>
              <w:rPr/>
            </w:pPr>
            <w:r>
              <w:rPr>
                <w:sz w:val="15"/>
              </w:rPr>
              <w:t xml:space="preserve">Celda 0.5: la función suma o promedia según </w:t>
            </w:r>
            <w:r>
              <w:rPr>
                <w:rFonts w:ascii="Consolas" w:hAnsi="Consolas" w:cs="Consolas"/>
                <w:sz w:val="15"/>
              </w:rPr>
              <w:t xml:space="preserve">como</w:t>
            </w:r>
            <w:r>
              <w:rPr>
                <w:sz w:val="15"/>
              </w:rPr>
              <w:t xml:space="preserve">; el precio se pide con «promedio». Celda 1.1: medio 434,26 y máximo 2.498,80 COP/kWh — un promedio horario, no una suma de 24 horas.</w:t>
            </w:r>
            <w:r/>
          </w:p>
        </w:tc>
      </w:tr>
      <w:tr>
        <w:trPr/>
        <w:tc>
          <w:tcPr>
            <w:tcBorders/>
            <w:tcW w:w="300" w:type="dxa"/>
            <w:vAlign w:val="center"/>
          </w:tcPr>
          <w:p>
            <w:pPr>
              <w:pStyle w:val="721"/>
              <w:pBdr/>
              <w:spacing/>
              <w:ind/>
              <w:jc w:val="center"/>
              <w:rPr/>
            </w:pPr>
            <w:r>
              <w:rPr>
                <w:sz w:val="15"/>
              </w:rPr>
              <w:t xml:space="preserve">4</w:t>
            </w:r>
            <w:r/>
          </w:p>
        </w:tc>
        <w:tc>
          <w:tcPr>
            <w:tcBorders/>
            <w:tcW w:w="2600" w:type="dxa"/>
            <w:vAlign w:val="center"/>
          </w:tcPr>
          <w:p>
            <w:pPr>
              <w:pStyle w:val="721"/>
              <w:pBdr/>
              <w:spacing/>
              <w:ind/>
              <w:jc w:val="left"/>
              <w:rPr/>
            </w:pPr>
            <w:r>
              <w:rPr>
                <w:sz w:val="15"/>
              </w:rPr>
              <w:t xml:space="preserve">Promediar los porcentajes diarios de los embalses da siempre el mismo resultado que recalcular volumen ÷ capacidad.</w:t>
            </w:r>
            <w:r/>
          </w:p>
        </w:tc>
        <w:tc>
          <w:tcPr>
            <w:tcBorders/>
            <w:tcW w:w="1300" w:type="dxa"/>
            <w:vAlign w:val="center"/>
          </w:tcPr>
          <w:p>
            <w:pPr>
              <w:pStyle w:val="721"/>
              <w:pBdr/>
              <w:spacing/>
              <w:ind/>
              <w:jc w:val="center"/>
              <w:rPr/>
            </w:pPr>
            <w:r>
              <w:rPr>
                <w:sz w:val="15"/>
              </w:rPr>
              <w:t xml:space="preserve">No se sostiene</w:t>
            </w:r>
            <w:r/>
          </w:p>
        </w:tc>
        <w:tc>
          <w:tcPr>
            <w:tcBorders/>
            <w:tcW w:w="4800" w:type="dxa"/>
            <w:vAlign w:val="center"/>
          </w:tcPr>
          <w:p>
            <w:pPr>
              <w:pStyle w:val="721"/>
              <w:pBdr/>
              <w:spacing/>
              <w:ind/>
              <w:jc w:val="left"/>
              <w:rPr/>
            </w:pPr>
            <w:r>
              <w:rPr>
                <w:sz w:val="15"/>
              </w:rPr>
              <w:t xml:space="preserve">Celda ✍️ (ING): promedio simple 68,6972 % frente a volumen ÷ capacidad 68,7219 %. La capacidad cambia cada día (celda 1.1: 16.835,52–18.237,18 GWh): el denominador no es constante.</w:t>
            </w:r>
            <w:r/>
          </w:p>
        </w:tc>
      </w:tr>
    </w:tbl>
    <w:p>
      <w:pPr>
        <w:pStyle w:val="707"/>
        <w:pBdr/>
        <w:spacing w:after="0" w:before="0" w:line="120" w:lineRule="auto"/>
        <w:ind/>
        <w:rPr/>
      </w:pPr>
      <w:r/>
      <w:r/>
    </w:p>
    <w:p>
      <w:pPr>
        <w:pStyle w:val="716"/>
        <w:pBdr/>
        <w:spacing/>
        <w:ind/>
        <w:rPr/>
      </w:pPr>
      <w:r>
        <w:rPr>
          <w:sz w:val="19"/>
        </w:rPr>
        <w:t xml:space="preserve">Pregunta abierta. La respuesta debe contener: La decisión de limpieza, qué habría pasado en las misiones de los demás sin corregirla, y el error 1.3 como ejemplo de un error que se propaga.</w:t>
      </w:r>
      <w:r/>
    </w:p>
    <w:p>
      <w:pPr>
        <w:pStyle w:val="707"/>
        <w:pBdr/>
        <w:spacing/>
        <w:ind/>
        <w:rPr/>
      </w:pPr>
      <w:r>
        <w:rPr>
          <w:sz w:val="22"/>
        </w:rPr>
        <w:t xml:space="preserve">Decidimos que la limpieza conservara el periodo completo y descartara solo lo que no existe. El error de la celda 1.3 lo explicaba: </w:t>
      </w:r>
      <w:r>
        <w:rPr>
          <w:rFonts w:ascii="Consolas" w:hAnsi="Consolas" w:cs="Consolas"/>
          <w:sz w:val="22"/>
        </w:rPr>
        <w:t xml:space="preserve">df.dropna().index.min()</w:t>
      </w:r>
      <w:r>
        <w:rPr>
          <w:sz w:val="22"/>
        </w:rPr>
        <w:t xml:space="preserve"> recorta el dataframe desde la primera fila sin dato, así que </w:t>
      </w:r>
      <w:r>
        <w:rPr>
          <w:rFonts w:ascii="Consolas" w:hAnsi="Consolas" w:cs="Consolas"/>
          <w:sz w:val="22"/>
        </w:rPr>
        <w:t xml:space="preserve">df_limpio</w:t>
      </w:r>
      <w:r>
        <w:rPr>
          <w:sz w:val="22"/>
        </w:rPr>
        <w:t xml:space="preserve"> quedaba con una sola fila (2022-01-01) y todas las misiones siguientes recibían una serie de un día. La corrección fue usar </w:t>
      </w:r>
      <w:r>
        <w:rPr>
          <w:rFonts w:ascii="Consolas" w:hAnsi="Consolas" w:cs="Consolas"/>
          <w:sz w:val="22"/>
        </w:rPr>
        <w:t xml:space="preserve">.index.max()</w:t>
      </w:r>
      <w:r>
        <w:rPr>
          <w:sz w:val="22"/>
        </w:rPr>
        <w:t xml:space="preserve">, que deja la serie hasta la última fecha completa (2026-10-22): 1.756 filas de 1.758.</w:t>
      </w:r>
      <w:r/>
    </w:p>
    <w:p>
      <w:pPr>
        <w:pStyle w:val="707"/>
        <w:pBdr/>
        <w:spacing/>
        <w:ind/>
        <w:rPr/>
      </w:pPr>
      <w:r>
        <w:rPr>
          <w:sz w:val="22"/>
        </w:rPr>
        <w:t xml:space="preserve">Si ese error no se hubiera corregido, ninguna misión habría podido ejecutarse con sentido, y el daño habría sido silencioso, no un error rojo: el promed</w:t>
      </w:r>
      <w:r>
        <w:rPr>
          <w:sz w:val="22"/>
        </w:rPr>
        <w:t xml:space="preserve">io móvil de 7 días sobre una fila devuelve esa fila, el agrupamiento mensual daría un solo mes, el semáforo no tendría días que clasificar y la ficha de cifras no tendría fecha. Peor: los gráficos habrían salido, con la apariencia de un análisis terminado.</w:t>
      </w:r>
      <w:r/>
    </w:p>
    <w:p>
      <w:pPr>
        <w:pStyle w:val="707"/>
        <w:pBdr/>
        <w:spacing/>
        <w:ind/>
        <w:rPr/>
      </w:pPr>
      <w:r>
        <w:rPr>
          <w:sz w:val="22"/>
        </w:rPr>
        <w:t xml:space="preserve">Por eso la limpieza es la primera puerta de control: la verificación ✅ 1.3 compara las filas que sobreviven con las que deberían sobrevivir, y si 1.3 no está en verde ninguna cifra posterior significa nada. Por la misma razón fijamos </w:t>
      </w:r>
      <w:r>
        <w:rPr>
          <w:rFonts w:ascii="Consolas" w:hAnsi="Consolas" w:cs="Consolas"/>
          <w:sz w:val="22"/>
        </w:rPr>
        <w:t xml:space="preserve">ACTUALIZAR = False</w:t>
      </w:r>
      <w:r>
        <w:rPr>
          <w:sz w:val="22"/>
        </w:rPr>
        <w:t xml:space="preserve"> tras la primera descarga, para que el cuaderno leyera el archivo guardado y no dependiera del servidor de XM en cada ejecución.</w:t>
      </w:r>
      <w:r/>
    </w:p>
    <w:p>
      <w:pPr>
        <w:pStyle w:val="708"/>
        <w:pBdr/>
        <w:spacing/>
        <w:ind/>
        <w:rPr/>
      </w:pPr>
      <w:r>
        <w:rPr>
          <w:sz w:val="28"/>
        </w:rPr>
        <w:t xml:space="preserve">3. Pregunta 2 · ¿Cómo evoluciona la demanda y qué patrón semanal tiene?</w:t>
      </w:r>
      <w:r/>
    </w:p>
    <w:p>
      <w:pPr>
        <w:pStyle w:val="715"/>
        <w:pBdr/>
        <w:spacing/>
        <w:ind/>
        <w:rPr/>
      </w:pPr>
      <w:r>
        <w:rPr>
          <w:sz w:val="19"/>
        </w:rPr>
        <w:t xml:space="preserve">Responsable: Lina Bastidas (EST) · Revisó: Anderson Silva (ENE) · Cuaderno: Misión 2, celdas 2.1 y 2.2</w:t>
      </w:r>
      <w:r/>
    </w:p>
    <w:p>
      <w:pPr>
        <w:pStyle w:val="719"/>
        <w:pBdr/>
        <w:spacing/>
        <w:ind/>
        <w:rPr/>
      </w:pPr>
      <w:r>
        <w:rPr>
          <w:b/>
        </w:rPr>
        <w:t xml:space="preserve">Tabla 6.</w:t>
      </w:r>
      <w:r>
        <w:rPr>
          <w:i/>
        </w:rPr>
        <w:t xml:space="preserve">  Afirmaciones evaluadas en la Pregunta 2</w:t>
      </w:r>
      <w:r/>
    </w:p>
    <w:tbl>
      <w:tblPr>
        <w:tblW w:w="5000" w:type="pct"/>
        <w:tblCellMar>
          <w:left w:w="60" w:type="dxa"/>
          <w:top w:w="32" w:type="dxa"/>
          <w:right w:w="60" w:type="dxa"/>
          <w:bottom w:w="32" w:type="dxa"/>
        </w:tblCellMar>
        <w:tblBorders>
          <w:top w:val="single" w:color="a8d08d" w:sz="4" w:space="0"/>
          <w:left w:val="single" w:color="a8d08d" w:sz="4" w:space="0"/>
          <w:bottom w:val="single" w:color="a8d08d" w:sz="4" w:space="0"/>
          <w:right w:val="single" w:color="a8d08d" w:sz="4" w:space="0"/>
          <w:insideH w:val="single" w:color="a8d08d" w:sz="4" w:space="0"/>
          <w:insideV w:val="single" w:color="a8d08d" w:sz="4" w:space="0"/>
        </w:tblBorders>
        <w:tblLayout w:type="fixed"/>
        <w:tblLook w:val="04A0" w:firstRow="1" w:lastRow="0" w:firstColumn="1" w:lastColumn="0" w:noHBand="0" w:noVBand="1"/>
      </w:tblPr>
      <w:tblGrid>
        <w:gridCol w:w="420"/>
        <w:gridCol w:w="2900"/>
        <w:gridCol w:w="1500"/>
        <w:gridCol w:w="4180"/>
      </w:tblGrid>
      <w:tr>
        <w:trPr>
          <w:cantSplit/>
          <w:tblHeader/>
        </w:trPr>
        <w:tc>
          <w:tcPr>
            <w:shd w:val="clear" w:color="auto" w:fill="e2efd9"/>
            <w:tcBorders/>
            <w:tcW w:w="420" w:type="dxa"/>
            <w:vAlign w:val="center"/>
          </w:tcPr>
          <w:p>
            <w:pPr>
              <w:pStyle w:val="720"/>
              <w:pBdr/>
              <w:spacing/>
              <w:ind/>
              <w:jc w:val="center"/>
              <w:rPr/>
            </w:pPr>
            <w:r>
              <w:rPr>
                <w:b/>
                <w:sz w:val="15"/>
              </w:rPr>
              <w:t xml:space="preserve">#</w:t>
            </w:r>
            <w:r/>
          </w:p>
        </w:tc>
        <w:tc>
          <w:tcPr>
            <w:shd w:val="clear" w:color="auto" w:fill="e2efd9"/>
            <w:tcBorders/>
            <w:tcW w:w="2900" w:type="dxa"/>
            <w:vAlign w:val="center"/>
          </w:tcPr>
          <w:p>
            <w:pPr>
              <w:pStyle w:val="720"/>
              <w:pBdr/>
              <w:spacing/>
              <w:ind/>
              <w:jc w:val="center"/>
              <w:rPr/>
            </w:pPr>
            <w:r>
              <w:rPr>
                <w:b/>
                <w:sz w:val="15"/>
              </w:rPr>
              <w:t xml:space="preserve">Afirmación</w:t>
            </w:r>
            <w:r/>
          </w:p>
        </w:tc>
        <w:tc>
          <w:tcPr>
            <w:shd w:val="clear" w:color="auto" w:fill="e2efd9"/>
            <w:tcBorders/>
            <w:tcW w:w="1500" w:type="dxa"/>
            <w:vAlign w:val="center"/>
          </w:tcPr>
          <w:p>
            <w:pPr>
              <w:pStyle w:val="720"/>
              <w:pBdr/>
              <w:spacing/>
              <w:ind/>
              <w:jc w:val="center"/>
              <w:rPr/>
            </w:pPr>
            <w:r>
              <w:rPr>
                <w:b/>
                <w:sz w:val="15"/>
              </w:rPr>
              <w:t xml:space="preserve">Veredicto</w:t>
            </w:r>
            <w:r/>
          </w:p>
        </w:tc>
        <w:tc>
          <w:tcPr>
            <w:shd w:val="clear" w:color="auto" w:fill="e2efd9"/>
            <w:tcBorders/>
            <w:tcW w:w="4180" w:type="dxa"/>
            <w:vAlign w:val="center"/>
          </w:tcPr>
          <w:p>
            <w:pPr>
              <w:pStyle w:val="720"/>
              <w:pBdr/>
              <w:spacing/>
              <w:ind/>
              <w:jc w:val="center"/>
              <w:rPr/>
            </w:pPr>
            <w:r>
              <w:rPr>
                <w:b/>
                <w:sz w:val="15"/>
              </w:rPr>
              <w:t xml:space="preserve">Evidencia del cuaderno</w:t>
            </w:r>
            <w:r/>
          </w:p>
        </w:tc>
      </w:tr>
      <w:tr>
        <w:trPr/>
        <w:tc>
          <w:tcPr>
            <w:tcBorders/>
            <w:tcW w:w="420" w:type="dxa"/>
            <w:vAlign w:val="center"/>
          </w:tcPr>
          <w:p>
            <w:pPr>
              <w:pStyle w:val="721"/>
              <w:pBdr/>
              <w:spacing/>
              <w:ind/>
              <w:jc w:val="center"/>
              <w:rPr/>
            </w:pPr>
            <w:r>
              <w:rPr>
                <w:sz w:val="15"/>
              </w:rPr>
              <w:t xml:space="preserve">1</w:t>
            </w:r>
            <w:r/>
          </w:p>
        </w:tc>
        <w:tc>
          <w:tcPr>
            <w:tcBorders/>
            <w:tcW w:w="2900" w:type="dxa"/>
            <w:vAlign w:val="center"/>
          </w:tcPr>
          <w:p>
            <w:pPr>
              <w:pStyle w:val="721"/>
              <w:pBdr/>
              <w:spacing/>
              <w:ind/>
              <w:jc w:val="left"/>
              <w:rPr/>
            </w:pPr>
            <w:r>
              <w:rPr>
                <w:sz w:val="15"/>
              </w:rPr>
              <w:t xml:space="preserve">Si el promedio móvil de 7 días se ve casi plano, la demanda no tiene patrón semanal.</w:t>
            </w:r>
            <w:r/>
          </w:p>
        </w:tc>
        <w:tc>
          <w:tcPr>
            <w:tcBorders/>
            <w:tcW w:w="1500" w:type="dxa"/>
            <w:vAlign w:val="center"/>
          </w:tcPr>
          <w:p>
            <w:pPr>
              <w:pStyle w:val="721"/>
              <w:pBdr/>
              <w:spacing/>
              <w:ind/>
              <w:jc w:val="center"/>
              <w:rPr/>
            </w:pPr>
            <w:r>
              <w:rPr>
                <w:sz w:val="15"/>
              </w:rPr>
              <w:t xml:space="preserve">No se sostiene</w:t>
            </w:r>
            <w:r/>
          </w:p>
        </w:tc>
        <w:tc>
          <w:tcPr>
            <w:tcBorders/>
            <w:tcW w:w="4180" w:type="dxa"/>
            <w:vAlign w:val="center"/>
          </w:tcPr>
          <w:p>
            <w:pPr>
              <w:pStyle w:val="721"/>
              <w:pBdr/>
              <w:spacing/>
              <w:ind/>
              <w:jc w:val="left"/>
              <w:rPr/>
            </w:pPr>
            <w:r>
              <w:rPr>
                <w:sz w:val="15"/>
              </w:rPr>
              <w:t xml:space="preserve">Celda 2.1: la ventana de 30 días sí se separa de la de 7 (✅ 2.1). La de 7 promedia exactamente un ciclo semanal: el patrón se aplana por construcción. Celda 2.2: domingo 203,90 GWh vs. viernes 233,80 GWh (14,7 %).</w:t>
            </w:r>
            <w:r/>
          </w:p>
        </w:tc>
      </w:tr>
      <w:tr>
        <w:trPr/>
        <w:tc>
          <w:tcPr>
            <w:tcBorders/>
            <w:tcW w:w="420" w:type="dxa"/>
            <w:vAlign w:val="center"/>
          </w:tcPr>
          <w:p>
            <w:pPr>
              <w:pStyle w:val="721"/>
              <w:pBdr/>
              <w:spacing/>
              <w:ind/>
              <w:jc w:val="center"/>
              <w:rPr/>
            </w:pPr>
            <w:r>
              <w:rPr>
                <w:sz w:val="15"/>
              </w:rPr>
              <w:t xml:space="preserve">2</w:t>
            </w:r>
            <w:r/>
          </w:p>
        </w:tc>
        <w:tc>
          <w:tcPr>
            <w:tcBorders/>
            <w:tcW w:w="2900" w:type="dxa"/>
            <w:vAlign w:val="center"/>
          </w:tcPr>
          <w:p>
            <w:pPr>
              <w:pStyle w:val="721"/>
              <w:pBdr/>
              <w:spacing/>
              <w:ind/>
              <w:jc w:val="left"/>
              <w:rPr/>
            </w:pPr>
            <w:r>
              <w:rPr>
                <w:sz w:val="15"/>
              </w:rPr>
              <w:t xml:space="preserve">El domingo se consume menos energía porque los hogares consumen menos ese día.</w:t>
            </w:r>
            <w:r/>
          </w:p>
        </w:tc>
        <w:tc>
          <w:tcPr>
            <w:tcBorders/>
            <w:tcW w:w="1500" w:type="dxa"/>
            <w:vAlign w:val="center"/>
          </w:tcPr>
          <w:p>
            <w:pPr>
              <w:pStyle w:val="721"/>
              <w:pBdr/>
              <w:spacing/>
              <w:ind/>
              <w:jc w:val="center"/>
              <w:rPr/>
            </w:pPr>
            <w:r>
              <w:rPr>
                <w:sz w:val="15"/>
              </w:rPr>
              <w:t xml:space="preserve">Los datos no alcanzan</w:t>
            </w:r>
            <w:r/>
          </w:p>
        </w:tc>
        <w:tc>
          <w:tcPr>
            <w:tcBorders/>
            <w:tcW w:w="4180" w:type="dxa"/>
            <w:vAlign w:val="center"/>
          </w:tcPr>
          <w:p>
            <w:pPr>
              <w:pStyle w:val="721"/>
              <w:pBdr/>
              <w:spacing/>
              <w:ind/>
              <w:jc w:val="left"/>
              <w:rPr/>
            </w:pPr>
            <w:r>
              <w:rPr>
                <w:sz w:val="15"/>
              </w:rPr>
              <w:t xml:space="preserve">Celda 2.2: el domingo queda 12,0 % bajo el promedio de lunes a viernes (233,62 GWh). Pero la serie es la demanda comercial del sistema (celda 0.6, </w:t>
            </w:r>
            <w:r>
              <w:rPr>
                <w:rFonts w:ascii="Consolas" w:hAnsi="Consolas" w:cs="Consolas"/>
                <w:sz w:val="15"/>
              </w:rPr>
              <w:t xml:space="preserve">DemaCome</w:t>
            </w:r>
            <w:r>
              <w:rPr>
                <w:sz w:val="15"/>
              </w:rPr>
              <w:t xml:space="preserve">), sin desagregación por sector.</w:t>
            </w:r>
            <w:r/>
          </w:p>
        </w:tc>
      </w:tr>
      <w:tr>
        <w:trPr/>
        <w:tc>
          <w:tcPr>
            <w:tcBorders/>
            <w:tcW w:w="420" w:type="dxa"/>
            <w:vAlign w:val="center"/>
          </w:tcPr>
          <w:p>
            <w:pPr>
              <w:pStyle w:val="721"/>
              <w:pBdr/>
              <w:spacing/>
              <w:ind/>
              <w:jc w:val="center"/>
              <w:rPr/>
            </w:pPr>
            <w:r>
              <w:rPr>
                <w:sz w:val="15"/>
              </w:rPr>
              <w:t xml:space="preserve">3</w:t>
            </w:r>
            <w:r/>
          </w:p>
        </w:tc>
        <w:tc>
          <w:tcPr>
            <w:tcBorders/>
            <w:tcW w:w="2900" w:type="dxa"/>
            <w:vAlign w:val="center"/>
          </w:tcPr>
          <w:p>
            <w:pPr>
              <w:pStyle w:val="721"/>
              <w:pBdr/>
              <w:spacing/>
              <w:ind/>
              <w:jc w:val="left"/>
              <w:rPr/>
            </w:pPr>
            <w:r>
              <w:rPr>
                <w:sz w:val="15"/>
              </w:rPr>
              <w:t xml:space="preserve">Antes de corregir el diccionario de días, el cuaderno mostraba que el sábado era el día de menor consumo: era un hallazgo válido.</w:t>
            </w:r>
            <w:r/>
          </w:p>
        </w:tc>
        <w:tc>
          <w:tcPr>
            <w:tcBorders/>
            <w:tcW w:w="1500" w:type="dxa"/>
            <w:vAlign w:val="center"/>
          </w:tcPr>
          <w:p>
            <w:pPr>
              <w:pStyle w:val="721"/>
              <w:pBdr/>
              <w:spacing/>
              <w:ind/>
              <w:jc w:val="center"/>
              <w:rPr/>
            </w:pPr>
            <w:r>
              <w:rPr>
                <w:sz w:val="15"/>
              </w:rPr>
              <w:t xml:space="preserve">No se sostiene</w:t>
            </w:r>
            <w:r/>
          </w:p>
        </w:tc>
        <w:tc>
          <w:tcPr>
            <w:tcBorders/>
            <w:tcW w:w="4180" w:type="dxa"/>
            <w:vAlign w:val="center"/>
          </w:tcPr>
          <w:p>
            <w:pPr>
              <w:pStyle w:val="721"/>
              <w:pBdr/>
              <w:spacing/>
              <w:ind/>
              <w:jc w:val="left"/>
              <w:rPr/>
            </w:pPr>
            <w:r>
              <w:rPr>
                <w:sz w:val="15"/>
              </w:rPr>
              <w:t xml:space="preserve">Celda 2.2: con </w:t>
            </w:r>
            <w:r>
              <w:rPr>
                <w:rFonts w:ascii="Consolas" w:hAnsi="Consolas" w:cs="Consolas"/>
                <w:sz w:val="15"/>
              </w:rPr>
              <w:t xml:space="preserve">{0: «Lunes» … 6: «Domingo»}</w:t>
            </w:r>
            <w:r>
              <w:rPr>
                <w:sz w:val="15"/>
              </w:rPr>
              <w:t xml:space="preserve"> los siete días quedan nombrados y el mínimo real es el domingo (✅ 2.2 y ✅ 2.3). Con las claves desde 1, el día real se rotulaba como el anterior: error de indexación, no hallazgo.</w:t>
            </w:r>
            <w:r/>
          </w:p>
        </w:tc>
      </w:tr>
      <w:tr>
        <w:trPr/>
        <w:tc>
          <w:tcPr>
            <w:tcBorders/>
            <w:tcW w:w="420" w:type="dxa"/>
            <w:vAlign w:val="center"/>
          </w:tcPr>
          <w:p>
            <w:pPr>
              <w:pStyle w:val="721"/>
              <w:pBdr/>
              <w:spacing/>
              <w:ind/>
              <w:jc w:val="center"/>
              <w:rPr/>
            </w:pPr>
            <w:r>
              <w:rPr>
                <w:sz w:val="15"/>
              </w:rPr>
              <w:t xml:space="preserve">4</w:t>
            </w:r>
            <w:r/>
          </w:p>
        </w:tc>
        <w:tc>
          <w:tcPr>
            <w:tcBorders/>
            <w:tcW w:w="2900" w:type="dxa"/>
            <w:vAlign w:val="center"/>
          </w:tcPr>
          <w:p>
            <w:pPr>
              <w:pStyle w:val="721"/>
              <w:pBdr/>
              <w:spacing/>
              <w:ind/>
              <w:jc w:val="left"/>
              <w:rPr/>
            </w:pPr>
            <w:r>
              <w:rPr>
                <w:sz w:val="15"/>
              </w:rPr>
              <w:t xml:space="preserve">La demanda diaria de energía de Colombia tiene tendencia creciente desde 2022.</w:t>
            </w:r>
            <w:r/>
          </w:p>
        </w:tc>
        <w:tc>
          <w:tcPr>
            <w:tcBorders/>
            <w:tcW w:w="1500" w:type="dxa"/>
            <w:vAlign w:val="center"/>
          </w:tcPr>
          <w:p>
            <w:pPr>
              <w:pStyle w:val="721"/>
              <w:pBdr/>
              <w:spacing/>
              <w:ind/>
              <w:jc w:val="center"/>
              <w:rPr/>
            </w:pPr>
            <w:r>
              <w:rPr>
                <w:sz w:val="15"/>
              </w:rPr>
              <w:t xml:space="preserve">Se sostiene</w:t>
            </w:r>
            <w:r/>
          </w:p>
        </w:tc>
        <w:tc>
          <w:tcPr>
            <w:tcBorders/>
            <w:tcW w:w="4180" w:type="dxa"/>
            <w:vAlign w:val="center"/>
          </w:tcPr>
          <w:p>
            <w:pPr>
              <w:pStyle w:val="721"/>
              <w:pBdr/>
              <w:spacing/>
              <w:ind/>
              <w:jc w:val="left"/>
              <w:rPr/>
            </w:pPr>
            <w:r>
              <w:rPr>
                <w:sz w:val="15"/>
              </w:rPr>
              <w:t xml:space="preserve">Celda 3.1: septiembre de 2026 con 7.566 GWh y +5,87 % interanual; los seis últimos meses van de +5,55 % a +7,88 %. No es uniforme: el mes más flojo es 2024-11 (−1,89 %).</w:t>
            </w:r>
            <w:r/>
          </w:p>
        </w:tc>
      </w:tr>
    </w:tbl>
    <w:p>
      <w:pPr>
        <w:pStyle w:val="707"/>
        <w:pBdr/>
        <w:spacing w:after="0" w:before="0" w:line="120" w:lineRule="auto"/>
        <w:ind/>
        <w:rPr/>
      </w:pPr>
      <w:r/>
      <w:r/>
    </w:p>
    <w:p>
      <w:pPr>
        <w:pStyle w:val="716"/>
        <w:pBdr/>
        <w:spacing/>
        <w:ind/>
        <w:rPr/>
      </w:pPr>
      <w:r>
        <w:rPr>
          <w:sz w:val="19"/>
        </w:rPr>
        <w:t xml:space="preserve">Pregunta abierta. La respuesta debe contener: Si la analogía con el promedio de presión arterial de un paciente es correcta, y qué se gana y qué se pierde al suavizar una serie.</w:t>
      </w:r>
      <w:r/>
    </w:p>
    <w:p>
      <w:pPr>
        <w:pStyle w:val="707"/>
        <w:pBdr/>
        <w:spacing/>
        <w:ind/>
        <w:rPr/>
      </w:pPr>
      <w:r>
        <w:rPr>
          <w:sz w:val="22"/>
        </w:rPr>
        <w:t xml:space="preserve">La analogía es correcta en lo esencial, con una salvedad. Así como la presión arterial de un</w:t>
      </w:r>
      <w:r>
        <w:rPr>
          <w:sz w:val="22"/>
        </w:rPr>
        <w:t xml:space="preserve"> paciente se lee mejor como una línea de 7 días que como un registro día a día —el promedio separa la tendencia del ruido de la medición—, la demanda diaria se lee mejor suavizada. Se gana legibilidad: la dirección y el nivel, sin que un martes de calor de</w:t>
      </w:r>
      <w:r>
        <w:rPr>
          <w:sz w:val="22"/>
        </w:rPr>
        <w:t xml:space="preserve">splace la serie. Se pierde información: cada punto de un promedio móvil de 7 días recibe exactamente un ciclo semanal, así que el fin de semana y el día entre semana se mezclan en la misma proporción y el patrón se aplana por construcción, no por ausencia.</w:t>
      </w:r>
      <w:r/>
    </w:p>
    <w:p>
      <w:pPr>
        <w:pStyle w:val="707"/>
        <w:pBdr/>
        <w:spacing/>
        <w:ind/>
        <w:rPr/>
      </w:pPr>
      <w:r>
        <w:rPr>
          <w:sz w:val="22"/>
        </w:rPr>
        <w:t xml:space="preserve">Por eso el cuaderno usa dos ventanas: 7 días para la tendencia de corto plazo y 30 días —que no coincide con e</w:t>
      </w:r>
      <w:r>
        <w:rPr>
          <w:sz w:val="22"/>
        </w:rPr>
        <w:t xml:space="preserve">l ciclo semanal— para separar tendencia y patrón (celda 2.1, ✅ 2.1). Y para el patrón semanal no se suaviza: la celda 2.2 agrupa por día de la semana y muestra el domingo como mínimo (203,90 GWh) y el viernes como máximo (233,80 GWh), 14,7 % de diferencia.</w:t>
      </w:r>
      <w:r/>
    </w:p>
    <w:p>
      <w:pPr>
        <w:pStyle w:val="707"/>
        <w:pBdr/>
        <w:spacing/>
        <w:ind/>
        <w:rPr/>
      </w:pPr>
      <w:r>
        <w:rPr>
          <w:sz w:val="22"/>
        </w:rPr>
        <w:t xml:space="preserve">La salvedad es de método: la analogía sirve para explicar el ruido, no el patrón. La presión arterial no tiene un ci</w:t>
      </w:r>
      <w:r>
        <w:rPr>
          <w:sz w:val="22"/>
        </w:rPr>
        <w:t xml:space="preserve">clo semanal marcado —su rutina es la del paciente—, mientras que la demanda eléctrica responde al ciclo laboral y al clima. Por eso no trasladamos la conclusión: no se puede suponer que la demanda sea «estable» solo porque una línea de 7 días se vea plana.</w:t>
      </w:r>
      <w:r/>
    </w:p>
    <w:p>
      <w:pPr>
        <w:pStyle w:val="722"/>
        <w:keepNext w:val="true"/>
        <w:pBdr/>
        <w:spacing/>
        <w:ind/>
        <w:rPr/>
      </w:pPr>
      <w:r>
        <mc:AlternateContent>
          <mc:Choice Requires="wpg">
            <w:drawing>
              <wp:inline xmlns:wp="http://schemas.openxmlformats.org/drawingml/2006/wordprocessingDrawing" distT="0" distB="0" distL="0" distR="0">
                <wp:extent cx="4320000" cy="1705263"/>
                <wp:effectExtent l="0" t="0" r="0" b="0"/>
                <wp:docPr id="1" nam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_demanda.png"/>
                        <pic:cNvPicPr>
                          <a:picLocks noChangeAspect="1"/>
                        </pic:cNvPicPr>
                        <pic:nvPr/>
                      </pic:nvPicPr>
                      <pic:blipFill rotWithShape="1">
                        <a:blip r:embed="rId12"/>
                        <a:stretch/>
                      </pic:blipFill>
                      <pic:spPr bwMode="auto">
                        <a:xfrm>
                          <a:off x="0" y="0"/>
                          <a:ext cx="4320000" cy="170526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40.16pt;height:134.27pt;mso-wrap-distance-left:0.00pt;mso-wrap-distance-top:0.00pt;mso-wrap-distance-right:0.00pt;mso-wrap-distance-bottom:0.00pt;z-index:1;" stroked="false">
                <v:imagedata r:id="rId12" o:title=""/>
                <o:lock v:ext="edit" rotation="t"/>
              </v:shape>
            </w:pict>
          </mc:Fallback>
        </mc:AlternateContent>
      </w:r>
      <w:r/>
    </w:p>
    <w:p>
      <w:pPr>
        <w:pStyle w:val="723"/>
        <w:pBdr/>
        <w:spacing/>
        <w:ind/>
        <w:rPr/>
      </w:pPr>
      <w:r>
        <w:rPr>
          <w:b/>
        </w:rPr>
        <w:t xml:space="preserve">Figura 1.</w:t>
      </w:r>
      <w:r>
        <w:rPr>
          <w:i/>
        </w:rPr>
        <w:t xml:space="preserve"> Demanda diaria de energía y sus promedios móviles de 7 y 30 días</w:t>
      </w:r>
      <w:r/>
    </w:p>
    <w:p>
      <w:pPr>
        <w:pStyle w:val="724"/>
        <w:pBdr/>
        <w:spacing/>
        <w:ind/>
        <w:rPr/>
      </w:pPr>
      <w:r>
        <w:rPr>
          <w:i/>
        </w:rPr>
        <w:t xml:space="preserve">Elaboración propia sobre datos/xm_diario.csv (API pública de XM); misma figura de la celda 2.1, redibujada a escala de impresión.</w:t>
      </w:r>
      <w:r/>
    </w:p>
    <w:p>
      <w:pPr>
        <w:pStyle w:val="708"/>
        <w:pBdr/>
        <w:spacing/>
        <w:ind/>
        <w:rPr/>
      </w:pPr>
      <w:r>
        <w:rPr>
          <w:sz w:val="28"/>
        </w:rPr>
        <w:t xml:space="preserve">4. Pregunta 3 · ¿La demanda crece o cae frente al año anterior?</w:t>
      </w:r>
      <w:r/>
    </w:p>
    <w:p>
      <w:pPr>
        <w:pStyle w:val="715"/>
        <w:pBdr/>
        <w:spacing/>
        <w:ind/>
        <w:rPr/>
      </w:pPr>
      <w:r>
        <w:rPr>
          <w:sz w:val="19"/>
        </w:rPr>
        <w:t xml:space="preserve">Responsable: Heriberto Valencia (PRG) · Revisó: Lina Bastidas (EST) · Cuaderno: Misión 3, celdas 3.1 a 3.4</w:t>
      </w:r>
      <w:r/>
    </w:p>
    <w:p>
      <w:pPr>
        <w:pStyle w:val="719"/>
        <w:pBdr/>
        <w:spacing/>
        <w:ind/>
        <w:rPr/>
      </w:pPr>
      <w:r>
        <w:rPr>
          <w:b/>
        </w:rPr>
        <w:t xml:space="preserve">Tabla 7.</w:t>
      </w:r>
      <w:r>
        <w:rPr>
          <w:i/>
        </w:rPr>
        <w:t xml:space="preserve">  Afirmaciones evaluadas en la Pregunta 3</w:t>
      </w:r>
      <w:r/>
    </w:p>
    <w:tbl>
      <w:tblPr>
        <w:tblW w:w="5000" w:type="pct"/>
        <w:tblCellMar>
          <w:left w:w="60" w:type="dxa"/>
          <w:top w:w="32" w:type="dxa"/>
          <w:right w:w="60" w:type="dxa"/>
          <w:bottom w:w="32" w:type="dxa"/>
        </w:tblCellMar>
        <w:tblBorders>
          <w:top w:val="single" w:color="a8d08d" w:sz="4" w:space="0"/>
          <w:left w:val="single" w:color="a8d08d" w:sz="4" w:space="0"/>
          <w:bottom w:val="single" w:color="a8d08d" w:sz="4" w:space="0"/>
          <w:right w:val="single" w:color="a8d08d" w:sz="4" w:space="0"/>
          <w:insideH w:val="single" w:color="a8d08d" w:sz="4" w:space="0"/>
          <w:insideV w:val="single" w:color="a8d08d" w:sz="4" w:space="0"/>
        </w:tblBorders>
        <w:tblLayout w:type="fixed"/>
        <w:tblLook w:val="04A0" w:firstRow="1" w:lastRow="0" w:firstColumn="1" w:lastColumn="0" w:noHBand="0" w:noVBand="1"/>
      </w:tblPr>
      <w:tblGrid>
        <w:gridCol w:w="420"/>
        <w:gridCol w:w="2900"/>
        <w:gridCol w:w="1500"/>
        <w:gridCol w:w="4180"/>
      </w:tblGrid>
      <w:tr>
        <w:trPr>
          <w:cantSplit/>
          <w:tblHeader/>
        </w:trPr>
        <w:tc>
          <w:tcPr>
            <w:shd w:val="clear" w:color="auto" w:fill="e2efd9"/>
            <w:tcBorders/>
            <w:tcW w:w="420" w:type="dxa"/>
            <w:vAlign w:val="center"/>
          </w:tcPr>
          <w:p>
            <w:pPr>
              <w:pStyle w:val="720"/>
              <w:pBdr/>
              <w:spacing/>
              <w:ind/>
              <w:jc w:val="center"/>
              <w:rPr/>
            </w:pPr>
            <w:r>
              <w:rPr>
                <w:b/>
                <w:sz w:val="15"/>
              </w:rPr>
              <w:t xml:space="preserve">#</w:t>
            </w:r>
            <w:r/>
          </w:p>
        </w:tc>
        <w:tc>
          <w:tcPr>
            <w:shd w:val="clear" w:color="auto" w:fill="e2efd9"/>
            <w:tcBorders/>
            <w:tcW w:w="2900" w:type="dxa"/>
            <w:vAlign w:val="center"/>
          </w:tcPr>
          <w:p>
            <w:pPr>
              <w:pStyle w:val="720"/>
              <w:pBdr/>
              <w:spacing/>
              <w:ind/>
              <w:jc w:val="center"/>
              <w:rPr/>
            </w:pPr>
            <w:r>
              <w:rPr>
                <w:b/>
                <w:sz w:val="15"/>
              </w:rPr>
              <w:t xml:space="preserve">Afirmación</w:t>
            </w:r>
            <w:r/>
          </w:p>
        </w:tc>
        <w:tc>
          <w:tcPr>
            <w:shd w:val="clear" w:color="auto" w:fill="e2efd9"/>
            <w:tcBorders/>
            <w:tcW w:w="1500" w:type="dxa"/>
            <w:vAlign w:val="center"/>
          </w:tcPr>
          <w:p>
            <w:pPr>
              <w:pStyle w:val="720"/>
              <w:pBdr/>
              <w:spacing/>
              <w:ind/>
              <w:jc w:val="center"/>
              <w:rPr/>
            </w:pPr>
            <w:r>
              <w:rPr>
                <w:b/>
                <w:sz w:val="15"/>
              </w:rPr>
              <w:t xml:space="preserve">Veredicto</w:t>
            </w:r>
            <w:r/>
          </w:p>
        </w:tc>
        <w:tc>
          <w:tcPr>
            <w:shd w:val="clear" w:color="auto" w:fill="e2efd9"/>
            <w:tcBorders/>
            <w:tcW w:w="4180" w:type="dxa"/>
            <w:vAlign w:val="center"/>
          </w:tcPr>
          <w:p>
            <w:pPr>
              <w:pStyle w:val="720"/>
              <w:pBdr/>
              <w:spacing/>
              <w:ind/>
              <w:jc w:val="center"/>
              <w:rPr/>
            </w:pPr>
            <w:r>
              <w:rPr>
                <w:b/>
                <w:sz w:val="15"/>
              </w:rPr>
              <w:t xml:space="preserve">Evidencia del cuaderno</w:t>
            </w:r>
            <w:r/>
          </w:p>
        </w:tc>
      </w:tr>
      <w:tr>
        <w:trPr/>
        <w:tc>
          <w:tcPr>
            <w:tcBorders/>
            <w:tcW w:w="420" w:type="dxa"/>
            <w:vAlign w:val="center"/>
          </w:tcPr>
          <w:p>
            <w:pPr>
              <w:pStyle w:val="721"/>
              <w:pBdr/>
              <w:spacing/>
              <w:ind/>
              <w:jc w:val="center"/>
              <w:rPr/>
            </w:pPr>
            <w:r>
              <w:rPr>
                <w:sz w:val="15"/>
              </w:rPr>
              <w:t xml:space="preserve">1</w:t>
            </w:r>
            <w:r/>
          </w:p>
        </w:tc>
        <w:tc>
          <w:tcPr>
            <w:tcBorders/>
            <w:tcW w:w="2900" w:type="dxa"/>
            <w:vAlign w:val="center"/>
          </w:tcPr>
          <w:p>
            <w:pPr>
              <w:pStyle w:val="721"/>
              <w:pBdr/>
              <w:spacing/>
              <w:ind/>
              <w:jc w:val="left"/>
              <w:rPr/>
            </w:pPr>
            <w:r>
              <w:rPr>
                <w:sz w:val="15"/>
              </w:rPr>
              <w:t xml:space="preserve">Una celda que se ejecuta sin mensaje rojo produce resultados correctos.</w:t>
            </w:r>
            <w:r/>
          </w:p>
        </w:tc>
        <w:tc>
          <w:tcPr>
            <w:tcBorders/>
            <w:tcW w:w="1500" w:type="dxa"/>
            <w:vAlign w:val="center"/>
          </w:tcPr>
          <w:p>
            <w:pPr>
              <w:pStyle w:val="721"/>
              <w:pBdr/>
              <w:spacing/>
              <w:ind/>
              <w:jc w:val="center"/>
              <w:rPr/>
            </w:pPr>
            <w:r>
              <w:rPr>
                <w:sz w:val="15"/>
              </w:rPr>
              <w:t xml:space="preserve">No se sostiene</w:t>
            </w:r>
            <w:r/>
          </w:p>
        </w:tc>
        <w:tc>
          <w:tcPr>
            <w:tcBorders/>
            <w:tcW w:w="4180" w:type="dxa"/>
            <w:vAlign w:val="center"/>
          </w:tcPr>
          <w:p>
            <w:pPr>
              <w:pStyle w:val="721"/>
              <w:pBdr/>
              <w:spacing/>
              <w:ind/>
              <w:jc w:val="left"/>
              <w:rPr/>
            </w:pPr>
            <w:r>
              <w:rPr>
                <w:sz w:val="15"/>
              </w:rPr>
              <w:t xml:space="preserve">Celda 3.4 (pruebas del rol): ✅ 3.A, 3.B y 3.C, y «Si se reintrodujera cada error, su prueba lo detecta → Error 1 (.mean()) → False». Igual en otras misiones: </w:t>
            </w:r>
            <w:r>
              <w:rPr>
                <w:rFonts w:ascii="Consolas" w:hAnsi="Consolas" w:cs="Consolas"/>
                <w:sz w:val="15"/>
              </w:rPr>
              <w:t xml:space="preserve">axhline(y=0.8)</w:t>
            </w:r>
            <w:r>
              <w:rPr>
                <w:sz w:val="15"/>
              </w:rPr>
              <w:t xml:space="preserve"> (4.1), </w:t>
            </w:r>
            <w:r>
              <w:rPr>
                <w:rFonts w:ascii="Consolas" w:hAnsi="Consolas" w:cs="Consolas"/>
                <w:sz w:val="15"/>
              </w:rPr>
              <w:t xml:space="preserve">method="pearson"</w:t>
            </w:r>
            <w:r>
              <w:rPr>
                <w:sz w:val="15"/>
              </w:rPr>
              <w:t xml:space="preserve"> (6.2), </w:t>
            </w:r>
            <w:r>
              <w:rPr>
                <w:rFonts w:ascii="Consolas" w:hAnsi="Consolas" w:cs="Consolas"/>
                <w:sz w:val="15"/>
              </w:rPr>
              <w:t xml:space="preserve">by="mes"</w:t>
            </w:r>
            <w:r>
              <w:rPr>
                <w:sz w:val="15"/>
              </w:rPr>
              <w:t xml:space="preserve"> (5.1) — ninguno lanzaba excepción.</w:t>
            </w:r>
            <w:r/>
          </w:p>
        </w:tc>
      </w:tr>
      <w:tr>
        <w:trPr/>
        <w:tc>
          <w:tcPr>
            <w:tcBorders/>
            <w:tcW w:w="420" w:type="dxa"/>
            <w:vAlign w:val="center"/>
          </w:tcPr>
          <w:p>
            <w:pPr>
              <w:pStyle w:val="721"/>
              <w:pBdr/>
              <w:spacing/>
              <w:ind/>
              <w:jc w:val="center"/>
              <w:rPr/>
            </w:pPr>
            <w:r>
              <w:rPr>
                <w:sz w:val="15"/>
              </w:rPr>
              <w:t xml:space="preserve">2</w:t>
            </w:r>
            <w:r/>
          </w:p>
        </w:tc>
        <w:tc>
          <w:tcPr>
            <w:tcBorders/>
            <w:tcW w:w="2900" w:type="dxa"/>
            <w:vAlign w:val="center"/>
          </w:tcPr>
          <w:p>
            <w:pPr>
              <w:pStyle w:val="721"/>
              <w:pBdr/>
              <w:spacing/>
              <w:ind/>
              <w:jc w:val="left"/>
              <w:rPr/>
            </w:pPr>
            <w:r>
              <w:rPr>
                <w:sz w:val="15"/>
              </w:rPr>
              <w:t xml:space="preserve">Si el mes en curso aparece con una caída de 45 % frente al mismo mes del año anterior, la demanda se desplomó.</w:t>
            </w:r>
            <w:r/>
          </w:p>
        </w:tc>
        <w:tc>
          <w:tcPr>
            <w:tcBorders/>
            <w:tcW w:w="1500" w:type="dxa"/>
            <w:vAlign w:val="center"/>
          </w:tcPr>
          <w:p>
            <w:pPr>
              <w:pStyle w:val="721"/>
              <w:pBdr/>
              <w:spacing/>
              <w:ind/>
              <w:jc w:val="center"/>
              <w:rPr/>
            </w:pPr>
            <w:r>
              <w:rPr>
                <w:sz w:val="15"/>
              </w:rPr>
              <w:t xml:space="preserve">No se sostiene</w:t>
            </w:r>
            <w:r/>
          </w:p>
        </w:tc>
        <w:tc>
          <w:tcPr>
            <w:tcBorders/>
            <w:tcW w:w="4180" w:type="dxa"/>
            <w:vAlign w:val="center"/>
          </w:tcPr>
          <w:p>
            <w:pPr>
              <w:pStyle w:val="721"/>
              <w:pBdr/>
              <w:spacing/>
              <w:ind/>
              <w:jc w:val="left"/>
              <w:rPr/>
            </w:pPr>
            <w:r>
              <w:rPr>
                <w:sz w:val="15"/>
              </w:rPr>
              <w:t xml:space="preserve">Celda 3.1: «Se excluyó el mes incompleto: 2026-10 (22 días de datos)» (✅ 3.2). Sería efecto calendario: 22 días frente a los 30 o 31 del mismo mes del año anterior. El último mes completo dio +5,87 %.</w:t>
            </w:r>
            <w:r/>
          </w:p>
        </w:tc>
      </w:tr>
      <w:tr>
        <w:trPr/>
        <w:tc>
          <w:tcPr>
            <w:tcBorders/>
            <w:tcW w:w="420" w:type="dxa"/>
            <w:vAlign w:val="center"/>
          </w:tcPr>
          <w:p>
            <w:pPr>
              <w:pStyle w:val="721"/>
              <w:pBdr/>
              <w:spacing/>
              <w:ind/>
              <w:jc w:val="center"/>
              <w:rPr/>
            </w:pPr>
            <w:r>
              <w:rPr>
                <w:sz w:val="15"/>
              </w:rPr>
              <w:t xml:space="preserve">3</w:t>
            </w:r>
            <w:r/>
          </w:p>
        </w:tc>
        <w:tc>
          <w:tcPr>
            <w:tcBorders/>
            <w:tcW w:w="2900" w:type="dxa"/>
            <w:vAlign w:val="center"/>
          </w:tcPr>
          <w:p>
            <w:pPr>
              <w:pStyle w:val="721"/>
              <w:pBdr/>
              <w:spacing/>
              <w:ind/>
              <w:jc w:val="left"/>
              <w:rPr/>
            </w:pPr>
            <w:r>
              <w:rPr>
                <w:sz w:val="15"/>
              </w:rPr>
              <w:t xml:space="preserve">pct_change(periods=1) sirve para saber si la demanda crece año contra año.</w:t>
            </w:r>
            <w:r/>
          </w:p>
        </w:tc>
        <w:tc>
          <w:tcPr>
            <w:tcBorders/>
            <w:tcW w:w="1500" w:type="dxa"/>
            <w:vAlign w:val="center"/>
          </w:tcPr>
          <w:p>
            <w:pPr>
              <w:pStyle w:val="721"/>
              <w:pBdr/>
              <w:spacing/>
              <w:ind/>
              <w:jc w:val="center"/>
              <w:rPr/>
            </w:pPr>
            <w:r>
              <w:rPr>
                <w:sz w:val="15"/>
              </w:rPr>
              <w:t xml:space="preserve">No se sostiene</w:t>
            </w:r>
            <w:r/>
          </w:p>
        </w:tc>
        <w:tc>
          <w:tcPr>
            <w:tcBorders/>
            <w:tcW w:w="4180" w:type="dxa"/>
            <w:vAlign w:val="center"/>
          </w:tcPr>
          <w:p>
            <w:pPr>
              <w:pStyle w:val="721"/>
              <w:pBdr/>
              <w:spacing/>
              <w:ind/>
              <w:jc w:val="left"/>
              <w:rPr/>
            </w:pPr>
            <w:r>
              <w:rPr>
                <w:sz w:val="15"/>
              </w:rPr>
              <w:t xml:space="preserve">Celda 3.1: la variación usa </w:t>
            </w:r>
            <w:r>
              <w:rPr>
                <w:rFonts w:ascii="Consolas" w:hAnsi="Consolas" w:cs="Consolas"/>
                <w:sz w:val="15"/>
              </w:rPr>
              <w:t xml:space="preserve">pct_change(periods=12)</w:t>
            </w:r>
            <w:r>
              <w:rPr>
                <w:sz w:val="15"/>
              </w:rPr>
              <w:t xml:space="preserve">. Con </w:t>
            </w:r>
            <w:r>
              <w:rPr>
                <w:rFonts w:ascii="Consolas" w:hAnsi="Consolas" w:cs="Consolas"/>
                <w:sz w:val="15"/>
              </w:rPr>
              <w:t xml:space="preserve">periods=1</w:t>
            </w:r>
            <w:r>
              <w:rPr>
                <w:sz w:val="15"/>
              </w:rPr>
              <w:t xml:space="preserve"> se comparaba contra el mes anterior y producía −10,77 % en octubre por efecto calendario (✅ 3.3).</w:t>
            </w:r>
            <w:r/>
          </w:p>
        </w:tc>
      </w:tr>
      <w:tr>
        <w:trPr/>
        <w:tc>
          <w:tcPr>
            <w:tcBorders/>
            <w:tcW w:w="420" w:type="dxa"/>
            <w:vAlign w:val="center"/>
          </w:tcPr>
          <w:p>
            <w:pPr>
              <w:pStyle w:val="721"/>
              <w:pBdr/>
              <w:spacing/>
              <w:ind/>
              <w:jc w:val="center"/>
              <w:rPr/>
            </w:pPr>
            <w:r>
              <w:rPr>
                <w:sz w:val="15"/>
              </w:rPr>
              <w:t xml:space="preserve">4</w:t>
            </w:r>
            <w:r/>
          </w:p>
        </w:tc>
        <w:tc>
          <w:tcPr>
            <w:tcBorders/>
            <w:tcW w:w="2900" w:type="dxa"/>
            <w:vAlign w:val="center"/>
          </w:tcPr>
          <w:p>
            <w:pPr>
              <w:pStyle w:val="721"/>
              <w:pBdr/>
              <w:spacing/>
              <w:ind/>
              <w:jc w:val="left"/>
              <w:rPr/>
            </w:pPr>
            <w:r>
              <w:rPr>
                <w:sz w:val="15"/>
              </w:rPr>
              <w:t xml:space="preserve">En el último mes completo la demanda creció frente al mismo mes del año anterior.</w:t>
            </w:r>
            <w:r/>
          </w:p>
        </w:tc>
        <w:tc>
          <w:tcPr>
            <w:tcBorders/>
            <w:tcW w:w="1500" w:type="dxa"/>
            <w:vAlign w:val="center"/>
          </w:tcPr>
          <w:p>
            <w:pPr>
              <w:pStyle w:val="721"/>
              <w:pBdr/>
              <w:spacing/>
              <w:ind/>
              <w:jc w:val="center"/>
              <w:rPr/>
            </w:pPr>
            <w:r>
              <w:rPr>
                <w:sz w:val="15"/>
              </w:rPr>
              <w:t xml:space="preserve">Se sostiene</w:t>
            </w:r>
            <w:r/>
          </w:p>
        </w:tc>
        <w:tc>
          <w:tcPr>
            <w:tcBorders/>
            <w:tcW w:w="4180" w:type="dxa"/>
            <w:vAlign w:val="center"/>
          </w:tcPr>
          <w:p>
            <w:pPr>
              <w:pStyle w:val="721"/>
              <w:pBdr/>
              <w:spacing/>
              <w:ind/>
              <w:jc w:val="left"/>
              <w:rPr/>
            </w:pPr>
            <w:r>
              <w:rPr>
                <w:sz w:val="15"/>
              </w:rPr>
              <w:t xml:space="preserve">Celda 3.1: 2026-09-01 con 7.566 GWh y +5,87 % (septiembre de 2026 frente a septiembre de 2025). Verificado por ✅ 3.3 y la prueba 3.C.</w:t>
            </w:r>
            <w:r/>
          </w:p>
        </w:tc>
      </w:tr>
    </w:tbl>
    <w:p>
      <w:pPr>
        <w:pStyle w:val="707"/>
        <w:pBdr/>
        <w:spacing w:after="0" w:before="0" w:line="120" w:lineRule="auto"/>
        <w:ind/>
        <w:rPr/>
      </w:pPr>
      <w:r/>
      <w:r/>
    </w:p>
    <w:p>
      <w:pPr>
        <w:pStyle w:val="716"/>
        <w:pBdr/>
        <w:spacing/>
        <w:ind/>
        <w:rPr/>
      </w:pPr>
      <w:r>
        <w:rPr>
          <w:sz w:val="19"/>
        </w:rPr>
        <w:t xml:space="preserve">Pregunta abierta. La respuesta debe contener: Por qué la energía se suma al pasar de días a meses pero el precio se promedia, y una prueba automática por cada uno de los tres errores de la Misión 3.</w:t>
      </w:r>
      <w:r/>
    </w:p>
    <w:p>
      <w:pPr>
        <w:pStyle w:val="707"/>
        <w:pBdr/>
        <w:spacing/>
        <w:ind/>
        <w:rPr/>
      </w:pPr>
      <w:r>
        <w:rPr>
          <w:sz w:val="22"/>
        </w:rPr>
        <w:t xml:space="preserve">La energía es una cantidad: 230 GWh consumidos ayer son 230 GWh consumidos, y los del día de hoy se suman. El precio es una magnitud por unidad: si la hora 1 costó 400 y la hora 2 costó 600, el precio de ese día no es 1.000 C</w:t>
      </w:r>
      <w:r>
        <w:rPr>
          <w:sz w:val="22"/>
        </w:rPr>
        <w:t xml:space="preserve">OP/kWh sino el promedio, 500, porque el cliente no compró «1.000 kilovatios hora»: compró energía cuyo precio unitario promedió 500. Sumar precios mezclaría dos cosas distintas, igual que sumar el precio de dos entradas de cine da el precio de una entrada.</w:t>
      </w:r>
      <w:r/>
    </w:p>
    <w:p>
      <w:pPr>
        <w:pStyle w:val="707"/>
        <w:pBdr/>
        <w:spacing/>
        <w:ind/>
        <w:rPr/>
      </w:pPr>
      <w:r>
        <w:rPr>
          <w:sz w:val="22"/>
        </w:rPr>
        <w:t xml:space="preserve">Las tres pruebas que escribimos en la celda nueva 3.4 comparan el resultado del código con la verdad calculada de otra manera, y por eso detectan el error aunque la celda no se detenga:</w:t>
      </w:r>
      <w:r/>
    </w:p>
    <w:p>
      <w:pPr>
        <w:pStyle w:val="719"/>
        <w:pBdr/>
        <w:spacing/>
        <w:ind/>
        <w:rPr/>
      </w:pPr>
      <w:r>
        <w:rPr>
          <w:b/>
        </w:rPr>
        <w:t xml:space="preserve">Tabla 8.</w:t>
      </w:r>
      <w:r>
        <w:rPr>
          <w:i/>
        </w:rPr>
        <w:t xml:space="preserve">  Pruebas automáticas propias de la Misión 3 (celda 3.4)</w:t>
      </w:r>
      <w:r/>
    </w:p>
    <w:tbl>
      <w:tblPr>
        <w:tblW w:w="5000" w:type="pct"/>
        <w:tblCellMar>
          <w:left w:w="60" w:type="dxa"/>
          <w:top w:w="32" w:type="dxa"/>
          <w:right w:w="60" w:type="dxa"/>
          <w:bottom w:w="32" w:type="dxa"/>
        </w:tblCellMar>
        <w:tblBorders>
          <w:top w:val="single" w:color="a8d08d" w:sz="4" w:space="0"/>
          <w:left w:val="single" w:color="a8d08d" w:sz="4" w:space="0"/>
          <w:bottom w:val="single" w:color="a8d08d" w:sz="4" w:space="0"/>
          <w:right w:val="single" w:color="a8d08d" w:sz="4" w:space="0"/>
          <w:insideH w:val="single" w:color="a8d08d" w:sz="4" w:space="0"/>
          <w:insideV w:val="single" w:color="a8d08d" w:sz="4" w:space="0"/>
        </w:tblBorders>
        <w:tblLayout w:type="fixed"/>
        <w:tblLook w:val="04A0" w:firstRow="1" w:lastRow="0" w:firstColumn="1" w:lastColumn="0" w:noHBand="0" w:noVBand="1"/>
      </w:tblPr>
      <w:tblGrid>
        <w:gridCol w:w="900"/>
        <w:gridCol w:w="4200"/>
        <w:gridCol w:w="3900"/>
      </w:tblGrid>
      <w:tr>
        <w:trPr>
          <w:cantSplit/>
          <w:tblHeader/>
        </w:trPr>
        <w:tc>
          <w:tcPr>
            <w:shd w:val="clear" w:color="auto" w:fill="e2efd9"/>
            <w:tcBorders/>
            <w:tcW w:w="900" w:type="dxa"/>
            <w:vAlign w:val="center"/>
          </w:tcPr>
          <w:p>
            <w:pPr>
              <w:pStyle w:val="720"/>
              <w:pBdr/>
              <w:spacing/>
              <w:ind/>
              <w:jc w:val="center"/>
              <w:rPr/>
            </w:pPr>
            <w:r>
              <w:rPr>
                <w:b/>
                <w:sz w:val="17"/>
              </w:rPr>
              <w:t xml:space="preserve">Prueba</w:t>
            </w:r>
            <w:r/>
          </w:p>
        </w:tc>
        <w:tc>
          <w:tcPr>
            <w:shd w:val="clear" w:color="auto" w:fill="e2efd9"/>
            <w:tcBorders/>
            <w:tcW w:w="4200" w:type="dxa"/>
            <w:vAlign w:val="center"/>
          </w:tcPr>
          <w:p>
            <w:pPr>
              <w:pStyle w:val="720"/>
              <w:pBdr/>
              <w:spacing/>
              <w:ind/>
              <w:jc w:val="center"/>
              <w:rPr/>
            </w:pPr>
            <w:r>
              <w:rPr>
                <w:b/>
                <w:sz w:val="17"/>
              </w:rPr>
              <w:t xml:space="preserve">Qué verifica</w:t>
            </w:r>
            <w:r/>
          </w:p>
        </w:tc>
        <w:tc>
          <w:tcPr>
            <w:shd w:val="clear" w:color="auto" w:fill="e2efd9"/>
            <w:tcBorders/>
            <w:tcW w:w="3900" w:type="dxa"/>
            <w:vAlign w:val="center"/>
          </w:tcPr>
          <w:p>
            <w:pPr>
              <w:pStyle w:val="720"/>
              <w:pBdr/>
              <w:spacing/>
              <w:ind/>
              <w:jc w:val="center"/>
              <w:rPr/>
            </w:pPr>
            <w:r>
              <w:rPr>
                <w:b/>
                <w:sz w:val="17"/>
              </w:rPr>
              <w:t xml:space="preserve">Qué error detecta</w:t>
            </w:r>
            <w:r/>
          </w:p>
        </w:tc>
      </w:tr>
      <w:tr>
        <w:trPr/>
        <w:tc>
          <w:tcPr>
            <w:tcBorders/>
            <w:tcW w:w="900" w:type="dxa"/>
            <w:vAlign w:val="center"/>
          </w:tcPr>
          <w:p>
            <w:pPr>
              <w:pStyle w:val="721"/>
              <w:pBdr/>
              <w:spacing/>
              <w:ind/>
              <w:jc w:val="center"/>
              <w:rPr/>
            </w:pPr>
            <w:r>
              <w:rPr>
                <w:sz w:val="17"/>
              </w:rPr>
              <w:t xml:space="preserve">3.A</w:t>
            </w:r>
            <w:r/>
          </w:p>
        </w:tc>
        <w:tc>
          <w:tcPr>
            <w:tcBorders/>
            <w:tcW w:w="4200" w:type="dxa"/>
            <w:vAlign w:val="center"/>
          </w:tcPr>
          <w:p>
            <w:pPr>
              <w:pStyle w:val="721"/>
              <w:pBdr/>
              <w:spacing/>
              <w:ind/>
              <w:jc w:val="left"/>
              <w:rPr/>
            </w:pPr>
            <w:r>
              <w:rPr>
                <w:sz w:val="17"/>
              </w:rPr>
              <w:t xml:space="preserve">La energía de cada mes es la SUMA de sus días: el valor del mes se compara con la suma directa de los días del mes.</w:t>
            </w:r>
            <w:r/>
          </w:p>
        </w:tc>
        <w:tc>
          <w:tcPr>
            <w:tcBorders/>
            <w:tcW w:w="3900" w:type="dxa"/>
            <w:vAlign w:val="center"/>
          </w:tcPr>
          <w:p>
            <w:pPr>
              <w:pStyle w:val="721"/>
              <w:pBdr/>
              <w:spacing/>
              <w:ind/>
              <w:jc w:val="left"/>
              <w:rPr/>
            </w:pPr>
            <w:r>
              <w:rPr>
                <w:sz w:val="17"/>
              </w:rPr>
              <w:t xml:space="preserve">El error 1: </w:t>
            </w:r>
            <w:r>
              <w:rPr>
                <w:rFonts w:ascii="Consolas" w:hAnsi="Consolas" w:cs="Consolas"/>
                <w:sz w:val="17"/>
              </w:rPr>
              <w:t xml:space="preserve">resample("MS").mean()</w:t>
            </w:r>
            <w:r>
              <w:rPr>
                <w:sz w:val="17"/>
              </w:rPr>
              <w:t xml:space="preserve"> hacía que el mes valiera lo mismo que un día.</w:t>
            </w:r>
            <w:r/>
          </w:p>
        </w:tc>
      </w:tr>
      <w:tr>
        <w:trPr/>
        <w:tc>
          <w:tcPr>
            <w:tcBorders/>
            <w:tcW w:w="900" w:type="dxa"/>
            <w:vAlign w:val="center"/>
          </w:tcPr>
          <w:p>
            <w:pPr>
              <w:pStyle w:val="721"/>
              <w:pBdr/>
              <w:spacing/>
              <w:ind/>
              <w:jc w:val="center"/>
              <w:rPr/>
            </w:pPr>
            <w:r>
              <w:rPr>
                <w:sz w:val="17"/>
              </w:rPr>
              <w:t xml:space="preserve">3.B</w:t>
            </w:r>
            <w:r/>
          </w:p>
        </w:tc>
        <w:tc>
          <w:tcPr>
            <w:tcBorders/>
            <w:tcW w:w="4200" w:type="dxa"/>
            <w:vAlign w:val="center"/>
          </w:tcPr>
          <w:p>
            <w:pPr>
              <w:pStyle w:val="721"/>
              <w:pBdr/>
              <w:spacing/>
              <w:ind/>
              <w:jc w:val="left"/>
              <w:rPr/>
            </w:pPr>
            <w:r>
              <w:rPr>
                <w:sz w:val="17"/>
              </w:rPr>
              <w:t xml:space="preserve">El último mes de la serie tiene todos sus días: se compara el número de días del calendario con el número de filas del mes.</w:t>
            </w:r>
            <w:r/>
          </w:p>
        </w:tc>
        <w:tc>
          <w:tcPr>
            <w:tcBorders/>
            <w:tcW w:w="3900" w:type="dxa"/>
            <w:vAlign w:val="center"/>
          </w:tcPr>
          <w:p>
            <w:pPr>
              <w:pStyle w:val="721"/>
              <w:pBdr/>
              <w:spacing/>
              <w:ind/>
              <w:jc w:val="left"/>
              <w:rPr/>
            </w:pPr>
            <w:r>
              <w:rPr>
                <w:sz w:val="17"/>
              </w:rPr>
              <w:t xml:space="preserve">El error 2: el condicional invertido dejaba el mes a medias (2026-10 con 22 días) dentro de la serie.</w:t>
            </w:r>
            <w:r/>
          </w:p>
        </w:tc>
      </w:tr>
      <w:tr>
        <w:trPr/>
        <w:tc>
          <w:tcPr>
            <w:tcBorders/>
            <w:tcW w:w="900" w:type="dxa"/>
            <w:vAlign w:val="center"/>
          </w:tcPr>
          <w:p>
            <w:pPr>
              <w:pStyle w:val="721"/>
              <w:pBdr/>
              <w:spacing/>
              <w:ind/>
              <w:jc w:val="center"/>
              <w:rPr/>
            </w:pPr>
            <w:r>
              <w:rPr>
                <w:sz w:val="17"/>
              </w:rPr>
              <w:t xml:space="preserve">3.C</w:t>
            </w:r>
            <w:r/>
          </w:p>
        </w:tc>
        <w:tc>
          <w:tcPr>
            <w:tcBorders/>
            <w:tcW w:w="4200" w:type="dxa"/>
            <w:vAlign w:val="center"/>
          </w:tcPr>
          <w:p>
            <w:pPr>
              <w:pStyle w:val="721"/>
              <w:pBdr/>
              <w:spacing/>
              <w:ind/>
              <w:jc w:val="left"/>
              <w:rPr/>
            </w:pPr>
            <w:r>
              <w:rPr>
                <w:sz w:val="17"/>
              </w:rPr>
              <w:t xml:space="preserve">La variación es frente al mismo mes del año anterior: se recalcula el cociente contra el mes equivalente un año antes.</w:t>
            </w:r>
            <w:r/>
          </w:p>
        </w:tc>
        <w:tc>
          <w:tcPr>
            <w:tcBorders/>
            <w:tcW w:w="3900" w:type="dxa"/>
            <w:vAlign w:val="center"/>
          </w:tcPr>
          <w:p>
            <w:pPr>
              <w:pStyle w:val="721"/>
              <w:pBdr/>
              <w:spacing/>
              <w:ind/>
              <w:jc w:val="left"/>
              <w:rPr/>
            </w:pPr>
            <w:r>
              <w:rPr>
                <w:sz w:val="17"/>
              </w:rPr>
              <w:t xml:space="preserve">El error 3: </w:t>
            </w:r>
            <w:r>
              <w:rPr>
                <w:rFonts w:ascii="Consolas" w:hAnsi="Consolas" w:cs="Consolas"/>
                <w:sz w:val="17"/>
              </w:rPr>
              <w:t xml:space="preserve">pct_change(periods=1)</w:t>
            </w:r>
            <w:r>
              <w:rPr>
                <w:sz w:val="17"/>
              </w:rPr>
              <w:t xml:space="preserve"> comparaba contra el mes anterior y no contra el mismo mes del año anterior.</w:t>
            </w:r>
            <w:r/>
          </w:p>
        </w:tc>
      </w:tr>
    </w:tbl>
    <w:p>
      <w:pPr>
        <w:pStyle w:val="707"/>
        <w:pBdr/>
        <w:spacing w:after="0" w:before="0" w:line="120" w:lineRule="auto"/>
        <w:ind/>
        <w:rPr/>
      </w:pPr>
      <w:r/>
      <w:r/>
    </w:p>
    <w:p>
      <w:pPr>
        <w:pStyle w:val="707"/>
        <w:pBdr/>
        <w:spacing/>
        <w:ind/>
        <w:rPr/>
      </w:pPr>
      <w:r>
        <w:rPr>
          <w:sz w:val="22"/>
        </w:rPr>
        <w:t xml:space="preserve">Al reintroducir cada error por separado, las tres pruebas se ponen en rojo y el cuaderno lo muestra en pantalla: ese es el principio que aplicamos en el equipo, una prueba por error, escrita para fallar cuando el código vuelve a estar mal.</w:t>
      </w:r>
      <w:r/>
    </w:p>
    <w:p>
      <w:pPr>
        <w:pStyle w:val="722"/>
        <w:keepNext w:val="true"/>
        <w:pBdr/>
        <w:spacing/>
        <w:ind/>
        <w:rPr/>
      </w:pPr>
      <w:r>
        <mc:AlternateContent>
          <mc:Choice Requires="wpg">
            <w:drawing>
              <wp:inline xmlns:wp="http://schemas.openxmlformats.org/drawingml/2006/wordprocessingDrawing" distT="0" distB="0" distL="0" distR="0">
                <wp:extent cx="4320000" cy="2078457"/>
                <wp:effectExtent l="0" t="0" r="0" b="0"/>
                <wp:docPr id="2" nam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2_interanual.png"/>
                        <pic:cNvPicPr>
                          <a:picLocks noChangeAspect="1"/>
                        </pic:cNvPicPr>
                        <pic:nvPr/>
                      </pic:nvPicPr>
                      <pic:blipFill rotWithShape="1">
                        <a:blip r:embed="rId13"/>
                        <a:stretch/>
                      </pic:blipFill>
                      <pic:spPr bwMode="auto">
                        <a:xfrm>
                          <a:off x="0" y="0"/>
                          <a:ext cx="4320000" cy="20784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40.16pt;height:163.66pt;mso-wrap-distance-left:0.00pt;mso-wrap-distance-top:0.00pt;mso-wrap-distance-right:0.00pt;mso-wrap-distance-bottom:0.00pt;z-index:1;" stroked="false">
                <v:imagedata r:id="rId13" o:title=""/>
                <o:lock v:ext="edit" rotation="t"/>
              </v:shape>
            </w:pict>
          </mc:Fallback>
        </mc:AlternateContent>
      </w:r>
      <w:r/>
    </w:p>
    <w:p>
      <w:pPr>
        <w:pStyle w:val="723"/>
        <w:pBdr/>
        <w:spacing/>
        <w:ind/>
        <w:rPr/>
      </w:pPr>
      <w:r>
        <w:rPr>
          <w:b/>
        </w:rPr>
        <w:t xml:space="preserve">Figura 2.</w:t>
      </w:r>
      <w:r>
        <w:rPr>
          <w:i/>
        </w:rPr>
        <w:t xml:space="preserve"> Variación interanual de la demanda mensual de energía (2023-2026)</w:t>
      </w:r>
      <w:r/>
    </w:p>
    <w:p>
      <w:pPr>
        <w:pStyle w:val="724"/>
        <w:pBdr/>
        <w:spacing/>
        <w:ind/>
        <w:rPr/>
      </w:pPr>
      <w:r>
        <w:rPr>
          <w:i/>
        </w:rPr>
        <w:t xml:space="preserve">Elaboración propia sobre datos/xm_diario.csv (API pública de XM); misma figura de la celda 3.1, redibujada a escala de impresión.</w:t>
      </w:r>
      <w:r/>
    </w:p>
    <w:p>
      <w:pPr>
        <w:pStyle w:val="708"/>
        <w:pBdr/>
        <w:spacing/>
        <w:ind/>
        <w:rPr/>
      </w:pPr>
      <w:r>
        <w:rPr>
          <w:sz w:val="28"/>
        </w:rPr>
        <w:t xml:space="preserve">5. Pregunta 4 · ¿Qué tan lejos están los embalses de la meta del 80 %?</w:t>
      </w:r>
      <w:r/>
    </w:p>
    <w:p>
      <w:pPr>
        <w:pStyle w:val="715"/>
        <w:pBdr/>
        <w:spacing/>
        <w:ind/>
        <w:rPr/>
      </w:pPr>
      <w:r>
        <w:rPr>
          <w:sz w:val="19"/>
        </w:rPr>
        <w:t xml:space="preserve">Responsable: Anderson Silva (ENE) · Revisó: Juan Diego Rubio (COM) · Cuaderno: Misión 4, celdas 4.1 y 4.2</w:t>
      </w:r>
      <w:r/>
    </w:p>
    <w:p>
      <w:pPr>
        <w:pStyle w:val="719"/>
        <w:pBdr/>
        <w:spacing/>
        <w:ind/>
        <w:rPr/>
      </w:pPr>
      <w:r>
        <w:rPr>
          <w:b/>
        </w:rPr>
        <w:t xml:space="preserve">Tabla 9.</w:t>
      </w:r>
      <w:r>
        <w:rPr>
          <w:i/>
        </w:rPr>
        <w:t xml:space="preserve">  Afirmaciones evaluadas en la Pregunta 4</w:t>
      </w:r>
      <w:r/>
    </w:p>
    <w:tbl>
      <w:tblPr>
        <w:tblW w:w="5000" w:type="pct"/>
        <w:tblCellMar>
          <w:left w:w="60" w:type="dxa"/>
          <w:top w:w="32" w:type="dxa"/>
          <w:right w:w="60" w:type="dxa"/>
          <w:bottom w:w="32" w:type="dxa"/>
        </w:tblCellMar>
        <w:tblBorders>
          <w:top w:val="single" w:color="a8d08d" w:sz="4" w:space="0"/>
          <w:left w:val="single" w:color="a8d08d" w:sz="4" w:space="0"/>
          <w:bottom w:val="single" w:color="a8d08d" w:sz="4" w:space="0"/>
          <w:right w:val="single" w:color="a8d08d" w:sz="4" w:space="0"/>
          <w:insideH w:val="single" w:color="a8d08d" w:sz="4" w:space="0"/>
          <w:insideV w:val="single" w:color="a8d08d" w:sz="4" w:space="0"/>
        </w:tblBorders>
        <w:tblLayout w:type="fixed"/>
        <w:tblLook w:val="04A0" w:firstRow="1" w:lastRow="0" w:firstColumn="1" w:lastColumn="0" w:noHBand="0" w:noVBand="1"/>
      </w:tblPr>
      <w:tblGrid>
        <w:gridCol w:w="420"/>
        <w:gridCol w:w="2900"/>
        <w:gridCol w:w="1500"/>
        <w:gridCol w:w="4180"/>
      </w:tblGrid>
      <w:tr>
        <w:trPr>
          <w:cantSplit/>
          <w:tblHeader/>
        </w:trPr>
        <w:tc>
          <w:tcPr>
            <w:shd w:val="clear" w:color="auto" w:fill="e2efd9"/>
            <w:tcBorders/>
            <w:tcW w:w="420" w:type="dxa"/>
            <w:vAlign w:val="center"/>
          </w:tcPr>
          <w:p>
            <w:pPr>
              <w:pStyle w:val="720"/>
              <w:pBdr/>
              <w:spacing/>
              <w:ind/>
              <w:jc w:val="center"/>
              <w:rPr/>
            </w:pPr>
            <w:r>
              <w:rPr>
                <w:b/>
                <w:sz w:val="15"/>
              </w:rPr>
              <w:t xml:space="preserve">#</w:t>
            </w:r>
            <w:r/>
          </w:p>
        </w:tc>
        <w:tc>
          <w:tcPr>
            <w:shd w:val="clear" w:color="auto" w:fill="e2efd9"/>
            <w:tcBorders/>
            <w:tcW w:w="2900" w:type="dxa"/>
            <w:vAlign w:val="center"/>
          </w:tcPr>
          <w:p>
            <w:pPr>
              <w:pStyle w:val="720"/>
              <w:pBdr/>
              <w:spacing/>
              <w:ind/>
              <w:jc w:val="center"/>
              <w:rPr/>
            </w:pPr>
            <w:r>
              <w:rPr>
                <w:b/>
                <w:sz w:val="15"/>
              </w:rPr>
              <w:t xml:space="preserve">Afirmación</w:t>
            </w:r>
            <w:r/>
          </w:p>
        </w:tc>
        <w:tc>
          <w:tcPr>
            <w:shd w:val="clear" w:color="auto" w:fill="e2efd9"/>
            <w:tcBorders/>
            <w:tcW w:w="1500" w:type="dxa"/>
            <w:vAlign w:val="center"/>
          </w:tcPr>
          <w:p>
            <w:pPr>
              <w:pStyle w:val="720"/>
              <w:pBdr/>
              <w:spacing/>
              <w:ind/>
              <w:jc w:val="center"/>
              <w:rPr/>
            </w:pPr>
            <w:r>
              <w:rPr>
                <w:b/>
                <w:sz w:val="15"/>
              </w:rPr>
              <w:t xml:space="preserve">Veredicto</w:t>
            </w:r>
            <w:r/>
          </w:p>
        </w:tc>
        <w:tc>
          <w:tcPr>
            <w:shd w:val="clear" w:color="auto" w:fill="e2efd9"/>
            <w:tcBorders/>
            <w:tcW w:w="4180" w:type="dxa"/>
            <w:vAlign w:val="center"/>
          </w:tcPr>
          <w:p>
            <w:pPr>
              <w:pStyle w:val="720"/>
              <w:pBdr/>
              <w:spacing/>
              <w:ind/>
              <w:jc w:val="center"/>
              <w:rPr/>
            </w:pPr>
            <w:r>
              <w:rPr>
                <w:b/>
                <w:sz w:val="15"/>
              </w:rPr>
              <w:t xml:space="preserve">Evidencia del cuaderno</w:t>
            </w:r>
            <w:r/>
          </w:p>
        </w:tc>
      </w:tr>
      <w:tr>
        <w:trPr/>
        <w:tc>
          <w:tcPr>
            <w:tcBorders/>
            <w:tcW w:w="420" w:type="dxa"/>
            <w:vAlign w:val="center"/>
          </w:tcPr>
          <w:p>
            <w:pPr>
              <w:pStyle w:val="721"/>
              <w:pBdr/>
              <w:spacing/>
              <w:ind/>
              <w:jc w:val="center"/>
              <w:rPr/>
            </w:pPr>
            <w:r>
              <w:rPr>
                <w:sz w:val="15"/>
              </w:rPr>
              <w:t xml:space="preserve">1</w:t>
            </w:r>
            <w:r/>
          </w:p>
        </w:tc>
        <w:tc>
          <w:tcPr>
            <w:tcBorders/>
            <w:tcW w:w="2900" w:type="dxa"/>
            <w:vAlign w:val="center"/>
          </w:tcPr>
          <w:p>
            <w:pPr>
              <w:pStyle w:val="721"/>
              <w:pBdr/>
              <w:spacing/>
              <w:ind/>
              <w:jc w:val="left"/>
              <w:rPr/>
            </w:pPr>
            <w:r>
              <w:rPr>
                <w:sz w:val="15"/>
              </w:rPr>
              <w:t xml:space="preserve">Como hoy los embalses están más altos que en la misma fecha de 2024, el riesgo de racionamiento es menor que en 2024.</w:t>
            </w:r>
            <w:r/>
          </w:p>
        </w:tc>
        <w:tc>
          <w:tcPr>
            <w:tcBorders/>
            <w:tcW w:w="1500" w:type="dxa"/>
            <w:vAlign w:val="center"/>
          </w:tcPr>
          <w:p>
            <w:pPr>
              <w:pStyle w:val="721"/>
              <w:pBdr/>
              <w:spacing/>
              <w:ind/>
              <w:jc w:val="center"/>
              <w:rPr/>
            </w:pPr>
            <w:r>
              <w:rPr>
                <w:sz w:val="15"/>
              </w:rPr>
              <w:t xml:space="preserve">Los datos no alcanzan</w:t>
            </w:r>
            <w:r/>
          </w:p>
        </w:tc>
        <w:tc>
          <w:tcPr>
            <w:tcBorders/>
            <w:tcW w:w="4180" w:type="dxa"/>
            <w:vAlign w:val="center"/>
          </w:tcPr>
          <w:p>
            <w:pPr>
              <w:pStyle w:val="721"/>
              <w:pBdr/>
              <w:spacing/>
              <w:ind/>
              <w:jc w:val="left"/>
              <w:rPr/>
            </w:pPr>
            <w:r>
              <w:rPr>
                <w:sz w:val="15"/>
              </w:rPr>
              <w:t xml:space="preserve">Celda 4.2: 76,56 % al 2026-10-22, frente a 83,48 % en la misma fecha de 2025 y 54,02 % de 2024. El nivel está más alto, pero el riesgo depende también de la autonomía de las reservas y de los aportes de los ríos, que XM publica y este cuaderno no trae.</w:t>
            </w:r>
            <w:r/>
          </w:p>
        </w:tc>
      </w:tr>
      <w:tr>
        <w:trPr/>
        <w:tc>
          <w:tcPr>
            <w:tcBorders/>
            <w:tcW w:w="420" w:type="dxa"/>
            <w:vAlign w:val="center"/>
          </w:tcPr>
          <w:p>
            <w:pPr>
              <w:pStyle w:val="721"/>
              <w:pBdr/>
              <w:spacing/>
              <w:ind/>
              <w:jc w:val="center"/>
              <w:rPr/>
            </w:pPr>
            <w:r>
              <w:rPr>
                <w:sz w:val="15"/>
              </w:rPr>
              <w:t xml:space="preserve">2</w:t>
            </w:r>
            <w:r/>
          </w:p>
        </w:tc>
        <w:tc>
          <w:tcPr>
            <w:tcBorders/>
            <w:tcW w:w="2900" w:type="dxa"/>
            <w:vAlign w:val="center"/>
          </w:tcPr>
          <w:p>
            <w:pPr>
              <w:pStyle w:val="721"/>
              <w:pBdr/>
              <w:spacing/>
              <w:ind/>
              <w:jc w:val="left"/>
              <w:rPr/>
            </w:pPr>
            <w:r>
              <w:rPr>
                <w:sz w:val="15"/>
              </w:rPr>
              <w:t xml:space="preserve">Faltan X puntos porcentuales para la meta: eso equivale a X % menos de agua.</w:t>
            </w:r>
            <w:r/>
          </w:p>
        </w:tc>
        <w:tc>
          <w:tcPr>
            <w:tcBorders/>
            <w:tcW w:w="1500" w:type="dxa"/>
            <w:vAlign w:val="center"/>
          </w:tcPr>
          <w:p>
            <w:pPr>
              <w:pStyle w:val="721"/>
              <w:pBdr/>
              <w:spacing/>
              <w:ind/>
              <w:jc w:val="center"/>
              <w:rPr/>
            </w:pPr>
            <w:r>
              <w:rPr>
                <w:sz w:val="15"/>
              </w:rPr>
              <w:t xml:space="preserve">No se sostiene</w:t>
            </w:r>
            <w:r/>
          </w:p>
        </w:tc>
        <w:tc>
          <w:tcPr>
            <w:tcBorders/>
            <w:tcW w:w="4180" w:type="dxa"/>
            <w:vAlign w:val="center"/>
          </w:tcPr>
          <w:p>
            <w:pPr>
              <w:pStyle w:val="721"/>
              <w:pBdr/>
              <w:spacing/>
              <w:ind/>
              <w:jc w:val="left"/>
              <w:rPr/>
            </w:pPr>
            <w:r>
              <w:rPr>
                <w:sz w:val="15"/>
              </w:rPr>
              <w:t xml:space="preserve">Celda 4.2: «Distancia a la meta del 80 %: 3.44 puntos porcentuales». Son puntos porcentuales (76,56 % frente a 80 %), no un porcentaje de agua: 3,44/80 = 4,3 % del nivel objetivo. Y el nivel es un cociente, volumen ÷ capacidad (celda 0.6).</w:t>
            </w:r>
            <w:r/>
          </w:p>
        </w:tc>
      </w:tr>
      <w:tr>
        <w:trPr/>
        <w:tc>
          <w:tcPr>
            <w:tcBorders/>
            <w:tcW w:w="420" w:type="dxa"/>
            <w:vAlign w:val="center"/>
          </w:tcPr>
          <w:p>
            <w:pPr>
              <w:pStyle w:val="721"/>
              <w:pBdr/>
              <w:spacing/>
              <w:ind/>
              <w:jc w:val="center"/>
              <w:rPr/>
            </w:pPr>
            <w:r>
              <w:rPr>
                <w:sz w:val="15"/>
              </w:rPr>
              <w:t xml:space="preserve">3</w:t>
            </w:r>
            <w:r/>
          </w:p>
        </w:tc>
        <w:tc>
          <w:tcPr>
            <w:tcBorders/>
            <w:tcW w:w="2900" w:type="dxa"/>
            <w:vAlign w:val="center"/>
          </w:tcPr>
          <w:p>
            <w:pPr>
              <w:pStyle w:val="721"/>
              <w:pBdr/>
              <w:spacing/>
              <w:ind/>
              <w:jc w:val="left"/>
              <w:rPr/>
            </w:pPr>
            <w:r>
              <w:rPr>
                <w:sz w:val="15"/>
              </w:rPr>
              <w:t xml:space="preserve">Si la línea de la meta se dibuja en 0,8 el gráfico sigue siendo correcto, porque es el mismo número.</w:t>
            </w:r>
            <w:r/>
          </w:p>
        </w:tc>
        <w:tc>
          <w:tcPr>
            <w:tcBorders/>
            <w:tcW w:w="1500" w:type="dxa"/>
            <w:vAlign w:val="center"/>
          </w:tcPr>
          <w:p>
            <w:pPr>
              <w:pStyle w:val="721"/>
              <w:pBdr/>
              <w:spacing/>
              <w:ind/>
              <w:jc w:val="center"/>
              <w:rPr/>
            </w:pPr>
            <w:r>
              <w:rPr>
                <w:sz w:val="15"/>
              </w:rPr>
              <w:t xml:space="preserve">No se sostiene</w:t>
            </w:r>
            <w:r/>
          </w:p>
        </w:tc>
        <w:tc>
          <w:tcPr>
            <w:tcBorders/>
            <w:tcW w:w="4180" w:type="dxa"/>
            <w:vAlign w:val="center"/>
          </w:tcPr>
          <w:p>
            <w:pPr>
              <w:pStyle w:val="721"/>
              <w:pBdr/>
              <w:spacing/>
              <w:ind/>
              <w:jc w:val="left"/>
              <w:rPr/>
            </w:pPr>
            <w:r>
              <w:rPr>
                <w:sz w:val="15"/>
              </w:rPr>
              <w:t xml:space="preserve">Celda 4.1: </w:t>
            </w:r>
            <w:r>
              <w:rPr>
                <w:rFonts w:ascii="Consolas" w:hAnsi="Consolas" w:cs="Consolas"/>
                <w:sz w:val="15"/>
              </w:rPr>
              <w:t xml:space="preserve">axhline(y=80)</w:t>
            </w:r>
            <w:r>
              <w:rPr>
                <w:sz w:val="15"/>
              </w:rPr>
              <w:t xml:space="preserve"> y </w:t>
            </w:r>
            <w:r>
              <w:rPr>
                <w:rFonts w:ascii="Consolas" w:hAnsi="Consolas" w:cs="Consolas"/>
                <w:sz w:val="15"/>
              </w:rPr>
              <w:t xml:space="preserve">axhline(y=40)</w:t>
            </w:r>
            <w:r>
              <w:rPr>
                <w:sz w:val="15"/>
              </w:rPr>
              <w:t xml:space="preserve"> sobre un eje de 0 a 100 (✅ 4.1). 0,8 es el mismo número en otras unidades: sobre un eje de 0 a 1 la línea del 80 % quedaba pegada al eje.</w:t>
            </w:r>
            <w:r/>
          </w:p>
        </w:tc>
      </w:tr>
      <w:tr>
        <w:trPr/>
        <w:tc>
          <w:tcPr>
            <w:tcBorders/>
            <w:tcW w:w="420" w:type="dxa"/>
            <w:vAlign w:val="center"/>
          </w:tcPr>
          <w:p>
            <w:pPr>
              <w:pStyle w:val="721"/>
              <w:pBdr/>
              <w:spacing/>
              <w:ind/>
              <w:jc w:val="center"/>
              <w:rPr/>
            </w:pPr>
            <w:r>
              <w:rPr>
                <w:sz w:val="15"/>
              </w:rPr>
              <w:t xml:space="preserve">4</w:t>
            </w:r>
            <w:r/>
          </w:p>
        </w:tc>
        <w:tc>
          <w:tcPr>
            <w:tcBorders/>
            <w:tcW w:w="2900" w:type="dxa"/>
            <w:vAlign w:val="center"/>
          </w:tcPr>
          <w:p>
            <w:pPr>
              <w:pStyle w:val="721"/>
              <w:pBdr/>
              <w:spacing/>
              <w:ind/>
              <w:jc w:val="left"/>
              <w:rPr/>
            </w:pPr>
            <w:r>
              <w:rPr>
                <w:sz w:val="15"/>
              </w:rPr>
              <w:t xml:space="preserve">El mínimo de 2024 que muestra el cuaderno coincide con lo que reportó la prensa.</w:t>
            </w:r>
            <w:r/>
          </w:p>
        </w:tc>
        <w:tc>
          <w:tcPr>
            <w:tcBorders/>
            <w:tcW w:w="1500" w:type="dxa"/>
            <w:vAlign w:val="center"/>
          </w:tcPr>
          <w:p>
            <w:pPr>
              <w:pStyle w:val="721"/>
              <w:pBdr/>
              <w:spacing/>
              <w:ind/>
              <w:jc w:val="center"/>
              <w:rPr/>
            </w:pPr>
            <w:r>
              <w:rPr>
                <w:sz w:val="15"/>
              </w:rPr>
              <w:t xml:space="preserve">Se sostiene</w:t>
            </w:r>
            <w:r/>
          </w:p>
        </w:tc>
        <w:tc>
          <w:tcPr>
            <w:tcBorders/>
            <w:tcW w:w="4180" w:type="dxa"/>
            <w:vAlign w:val="center"/>
          </w:tcPr>
          <w:p>
            <w:pPr>
              <w:pStyle w:val="721"/>
              <w:pBdr/>
              <w:spacing/>
              <w:ind/>
              <w:jc w:val="left"/>
              <w:rPr/>
            </w:pPr>
            <w:r>
              <w:rPr>
                <w:sz w:val="15"/>
              </w:rPr>
              <w:t xml:space="preserve">Celda 4.2: «Mínimo de 2024: 28.56 % el 2024-04-18» (✅ 4.2); la 8.2 ya imprime lo mismo. Coincide con lo reportado por la prensa para 2024, en plena temporada seca.</w:t>
            </w:r>
            <w:r/>
          </w:p>
        </w:tc>
      </w:tr>
    </w:tbl>
    <w:p>
      <w:pPr>
        <w:pStyle w:val="707"/>
        <w:pBdr/>
        <w:spacing w:after="0" w:before="0" w:line="120" w:lineRule="auto"/>
        <w:ind/>
        <w:rPr/>
      </w:pPr>
      <w:r/>
      <w:r/>
    </w:p>
    <w:p>
      <w:pPr>
        <w:pStyle w:val="716"/>
        <w:pBdr/>
        <w:spacing/>
        <w:ind/>
        <w:rPr/>
      </w:pPr>
      <w:r>
        <w:rPr>
          <w:sz w:val="19"/>
        </w:rPr>
        <w:t xml:space="preserve">Pregunta abierta. La respuesta debe contener: Qué nivel de embalses haría cambiar la estrategia de compras y por qué el semáforo de 40 % y 80 % es una simplificación.</w:t>
      </w:r>
      <w:r/>
    </w:p>
    <w:p>
      <w:pPr>
        <w:pStyle w:val="707"/>
        <w:pBdr/>
        <w:spacing/>
        <w:ind/>
        <w:rPr/>
      </w:pPr>
      <w:r>
        <w:rPr>
          <w:sz w:val="22"/>
        </w:rPr>
        <w:t xml:space="preserve">Si yo fuera el gerente de compras, no esperaría al 40 %: pondría el gatillo en 70 % sostenido durante quince días y actuaría de inmediato por debajo del 50 %. La razón no es el número s</w:t>
      </w:r>
      <w:r>
        <w:rPr>
          <w:sz w:val="22"/>
        </w:rPr>
        <w:t xml:space="preserve">ino la velocidad: en 2024 el sistema pasó 78 días seguidos bajo el 40 %, y una racha así no se recupera con un día de lluvia sino con semanas. Comprar energía es decidir a qué precio se paga el kWh que se consume: esa decisión se anticipa, no se reacciona.</w:t>
      </w:r>
      <w:r/>
    </w:p>
    <w:p>
      <w:pPr>
        <w:pStyle w:val="707"/>
        <w:pBdr/>
        <w:spacing/>
        <w:ind/>
        <w:rPr/>
      </w:pPr>
      <w:r>
        <w:rPr>
          <w:sz w:val="22"/>
        </w:rPr>
        <w:t xml:space="preserve">El semáforo de 40 % y 80 % simplifica por cuatro razo</w:t>
      </w:r>
      <w:r>
        <w:rPr>
          <w:sz w:val="22"/>
        </w:rPr>
        <w:t xml:space="preserve">nes. Un umbral no dice nada sobre la velocidad: 45 % durante una semana y 45 % durante tres meses son el mismo número y dos decisiones opuestas. No considera la estación: el 40 % en abril, en temporada seca, no es el 40 % en diciembre, cuando las lluvias y</w:t>
      </w:r>
      <w:r>
        <w:rPr>
          <w:sz w:val="22"/>
        </w:rPr>
        <w:t xml:space="preserve">a llenaban los embalses. No pondera la autonomía de las reservas, que XM publica aparte y pasó de 107 a 66 días. E ignora la velocidad de recarga: con la capacidad útil entre 16.835 y 18.237 GWh, el mismo porcentaje representa un volumen distinto cada día.</w:t>
      </w:r>
      <w:r/>
    </w:p>
    <w:p>
      <w:pPr>
        <w:pStyle w:val="707"/>
        <w:pBdr/>
        <w:spacing/>
        <w:ind/>
        <w:rPr/>
      </w:pPr>
      <w:r>
        <w:rPr>
          <w:sz w:val="22"/>
        </w:rPr>
        <w:t xml:space="preserve">Un semáforo útil sería una función de nivel, tendencia y estacionalidad, no un corte de dos líneas. El del cuaderno clasifica bien el día, pero no dice si la situación se arregla o empeora.</w:t>
      </w:r>
      <w:r/>
    </w:p>
    <w:p>
      <w:pPr>
        <w:pStyle w:val="722"/>
        <w:keepNext w:val="true"/>
        <w:pBdr/>
        <w:spacing/>
        <w:ind/>
        <w:rPr/>
      </w:pPr>
      <w:r>
        <mc:AlternateContent>
          <mc:Choice Requires="wpg">
            <w:drawing>
              <wp:inline xmlns:wp="http://schemas.openxmlformats.org/drawingml/2006/wordprocessingDrawing" distT="0" distB="0" distL="0" distR="0">
                <wp:extent cx="4320000" cy="1506055"/>
                <wp:effectExtent l="0" t="0" r="0" b="0"/>
                <wp:docPr id="3" nam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3_embalses.png"/>
                        <pic:cNvPicPr>
                          <a:picLocks noChangeAspect="1"/>
                        </pic:cNvPicPr>
                        <pic:nvPr/>
                      </pic:nvPicPr>
                      <pic:blipFill rotWithShape="1">
                        <a:blip r:embed="rId14"/>
                        <a:stretch/>
                      </pic:blipFill>
                      <pic:spPr bwMode="auto">
                        <a:xfrm>
                          <a:off x="0" y="0"/>
                          <a:ext cx="4320000" cy="15060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40.16pt;height:118.59pt;mso-wrap-distance-left:0.00pt;mso-wrap-distance-top:0.00pt;mso-wrap-distance-right:0.00pt;mso-wrap-distance-bottom:0.00pt;z-index:1;" stroked="false">
                <v:imagedata r:id="rId14" o:title=""/>
                <o:lock v:ext="edit" rotation="t"/>
              </v:shape>
            </w:pict>
          </mc:Fallback>
        </mc:AlternateContent>
      </w:r>
      <w:r/>
    </w:p>
    <w:p>
      <w:pPr>
        <w:pStyle w:val="723"/>
        <w:pBdr/>
        <w:spacing/>
        <w:ind/>
        <w:rPr/>
      </w:pPr>
      <w:r>
        <w:rPr>
          <w:b/>
        </w:rPr>
        <w:t xml:space="preserve">Figura 3.</w:t>
      </w:r>
      <w:r>
        <w:rPr>
          <w:i/>
        </w:rPr>
        <w:t xml:space="preserve"> Nivel de los embalses del Sistema Interconectado Nacional, con la meta del 80 % y la zona crítica del 40 %</w:t>
      </w:r>
      <w:r/>
    </w:p>
    <w:p>
      <w:pPr>
        <w:pStyle w:val="724"/>
        <w:pBdr/>
        <w:spacing/>
        <w:ind/>
        <w:rPr/>
      </w:pPr>
      <w:r>
        <w:rPr>
          <w:i/>
        </w:rPr>
        <w:t xml:space="preserve">Elaboración propia sobre datos/xm_diario.csv (API pública de XM); misma figura de la celda 4.1, redibujada a escala de impresión.</w:t>
      </w:r>
      <w:r/>
    </w:p>
    <w:p>
      <w:pPr>
        <w:pStyle w:val="708"/>
        <w:pBdr/>
        <w:spacing/>
        <w:ind/>
        <w:rPr/>
      </w:pPr>
      <w:r>
        <w:rPr>
          <w:sz w:val="28"/>
        </w:rPr>
        <w:t xml:space="preserve">6. Pregunta 5 · ¿Qué tan excepcional es el precio de bolsa de 2026?</w:t>
      </w:r>
      <w:r/>
    </w:p>
    <w:p>
      <w:pPr>
        <w:pStyle w:val="715"/>
        <w:pBdr/>
        <w:spacing/>
        <w:ind/>
        <w:rPr/>
      </w:pPr>
      <w:r>
        <w:rPr>
          <w:sz w:val="19"/>
        </w:rPr>
        <w:t xml:space="preserve">Responsable: Anderson Silva (ENE) · Revisó: Juan Diego Rubio (COM) · Cuaderno: Misión 5, celdas 5.1 y 5.2</w:t>
      </w:r>
      <w:r/>
    </w:p>
    <w:p>
      <w:pPr>
        <w:pStyle w:val="719"/>
        <w:pBdr/>
        <w:spacing/>
        <w:ind/>
        <w:rPr/>
      </w:pPr>
      <w:r>
        <w:rPr>
          <w:b/>
        </w:rPr>
        <w:t xml:space="preserve">Tabla 10.</w:t>
      </w:r>
      <w:r>
        <w:rPr>
          <w:i/>
        </w:rPr>
        <w:t xml:space="preserve">  Afirmaciones evaluadas en la Pregunta 5</w:t>
      </w:r>
      <w:r/>
    </w:p>
    <w:tbl>
      <w:tblPr>
        <w:tblW w:w="5000" w:type="pct"/>
        <w:tblCellMar>
          <w:left w:w="60" w:type="dxa"/>
          <w:top w:w="32" w:type="dxa"/>
          <w:right w:w="60" w:type="dxa"/>
          <w:bottom w:w="32" w:type="dxa"/>
        </w:tblCellMar>
        <w:tblBorders>
          <w:top w:val="single" w:color="a8d08d" w:sz="4" w:space="0"/>
          <w:left w:val="single" w:color="a8d08d" w:sz="4" w:space="0"/>
          <w:bottom w:val="single" w:color="a8d08d" w:sz="4" w:space="0"/>
          <w:right w:val="single" w:color="a8d08d" w:sz="4" w:space="0"/>
          <w:insideH w:val="single" w:color="a8d08d" w:sz="4" w:space="0"/>
          <w:insideV w:val="single" w:color="a8d08d" w:sz="4" w:space="0"/>
        </w:tblBorders>
        <w:tblLayout w:type="fixed"/>
        <w:tblLook w:val="04A0" w:firstRow="1" w:lastRow="0" w:firstColumn="1" w:lastColumn="0" w:noHBand="0" w:noVBand="1"/>
      </w:tblPr>
      <w:tblGrid>
        <w:gridCol w:w="420"/>
        <w:gridCol w:w="2900"/>
        <w:gridCol w:w="1500"/>
        <w:gridCol w:w="4180"/>
      </w:tblGrid>
      <w:tr>
        <w:trPr>
          <w:cantSplit/>
          <w:tblHeader/>
        </w:trPr>
        <w:tc>
          <w:tcPr>
            <w:shd w:val="clear" w:color="auto" w:fill="e2efd9"/>
            <w:tcBorders/>
            <w:tcW w:w="420" w:type="dxa"/>
            <w:vAlign w:val="center"/>
          </w:tcPr>
          <w:p>
            <w:pPr>
              <w:pStyle w:val="720"/>
              <w:pBdr/>
              <w:spacing/>
              <w:ind/>
              <w:jc w:val="center"/>
              <w:rPr/>
            </w:pPr>
            <w:r>
              <w:rPr>
                <w:b/>
                <w:sz w:val="15"/>
              </w:rPr>
              <w:t xml:space="preserve">#</w:t>
            </w:r>
            <w:r/>
          </w:p>
        </w:tc>
        <w:tc>
          <w:tcPr>
            <w:shd w:val="clear" w:color="auto" w:fill="e2efd9"/>
            <w:tcBorders/>
            <w:tcW w:w="2900" w:type="dxa"/>
            <w:vAlign w:val="center"/>
          </w:tcPr>
          <w:p>
            <w:pPr>
              <w:pStyle w:val="720"/>
              <w:pBdr/>
              <w:spacing/>
              <w:ind/>
              <w:jc w:val="center"/>
              <w:rPr/>
            </w:pPr>
            <w:r>
              <w:rPr>
                <w:b/>
                <w:sz w:val="15"/>
              </w:rPr>
              <w:t xml:space="preserve">Afirmación</w:t>
            </w:r>
            <w:r/>
          </w:p>
        </w:tc>
        <w:tc>
          <w:tcPr>
            <w:shd w:val="clear" w:color="auto" w:fill="e2efd9"/>
            <w:tcBorders/>
            <w:tcW w:w="1500" w:type="dxa"/>
            <w:vAlign w:val="center"/>
          </w:tcPr>
          <w:p>
            <w:pPr>
              <w:pStyle w:val="720"/>
              <w:pBdr/>
              <w:spacing/>
              <w:ind/>
              <w:jc w:val="center"/>
              <w:rPr/>
            </w:pPr>
            <w:r>
              <w:rPr>
                <w:b/>
                <w:sz w:val="15"/>
              </w:rPr>
              <w:t xml:space="preserve">Veredicto</w:t>
            </w:r>
            <w:r/>
          </w:p>
        </w:tc>
        <w:tc>
          <w:tcPr>
            <w:shd w:val="clear" w:color="auto" w:fill="e2efd9"/>
            <w:tcBorders/>
            <w:tcW w:w="4180" w:type="dxa"/>
            <w:vAlign w:val="center"/>
          </w:tcPr>
          <w:p>
            <w:pPr>
              <w:pStyle w:val="720"/>
              <w:pBdr/>
              <w:spacing/>
              <w:ind/>
              <w:jc w:val="center"/>
              <w:rPr/>
            </w:pPr>
            <w:r>
              <w:rPr>
                <w:b/>
                <w:sz w:val="15"/>
              </w:rPr>
              <w:t xml:space="preserve">Evidencia del cuaderno</w:t>
            </w:r>
            <w:r/>
          </w:p>
        </w:tc>
      </w:tr>
      <w:tr>
        <w:trPr/>
        <w:tc>
          <w:tcPr>
            <w:tcBorders/>
            <w:tcW w:w="420" w:type="dxa"/>
            <w:vAlign w:val="center"/>
          </w:tcPr>
          <w:p>
            <w:pPr>
              <w:pStyle w:val="721"/>
              <w:pBdr/>
              <w:spacing/>
              <w:ind/>
              <w:jc w:val="center"/>
              <w:rPr/>
            </w:pPr>
            <w:r>
              <w:rPr>
                <w:sz w:val="15"/>
              </w:rPr>
              <w:t xml:space="preserve">1</w:t>
            </w:r>
            <w:r/>
          </w:p>
        </w:tc>
        <w:tc>
          <w:tcPr>
            <w:tcBorders/>
            <w:tcW w:w="2900" w:type="dxa"/>
            <w:vAlign w:val="center"/>
          </w:tcPr>
          <w:p>
            <w:pPr>
              <w:pStyle w:val="721"/>
              <w:pBdr/>
              <w:spacing/>
              <w:ind/>
              <w:jc w:val="left"/>
              <w:rPr/>
            </w:pPr>
            <w:r>
              <w:rPr>
                <w:sz w:val="15"/>
              </w:rPr>
              <w:t xml:space="preserve">El comentario de la IA sobre la unidad de PrecBolsNaci era correcto.</w:t>
            </w:r>
            <w:r/>
          </w:p>
        </w:tc>
        <w:tc>
          <w:tcPr>
            <w:tcBorders/>
            <w:tcW w:w="1500" w:type="dxa"/>
            <w:vAlign w:val="center"/>
          </w:tcPr>
          <w:p>
            <w:pPr>
              <w:pStyle w:val="721"/>
              <w:pBdr/>
              <w:spacing/>
              <w:ind/>
              <w:jc w:val="center"/>
              <w:rPr/>
            </w:pPr>
            <w:r>
              <w:rPr>
                <w:sz w:val="15"/>
              </w:rPr>
              <w:t xml:space="preserve">No se sostiene</w:t>
            </w:r>
            <w:r/>
          </w:p>
        </w:tc>
        <w:tc>
          <w:tcPr>
            <w:tcBorders/>
            <w:tcW w:w="4180" w:type="dxa"/>
            <w:vAlign w:val="center"/>
          </w:tcPr>
          <w:p>
            <w:pPr>
              <w:pStyle w:val="721"/>
              <w:pBdr/>
              <w:spacing/>
              <w:ind/>
              <w:jc w:val="left"/>
              <w:rPr/>
            </w:pPr>
            <w:r>
              <w:rPr>
                <w:sz w:val="15"/>
              </w:rPr>
              <w:t xml:space="preserve">Celda 0.4: </w:t>
            </w:r>
            <w:r>
              <w:rPr>
                <w:rFonts w:ascii="Consolas" w:hAnsi="Consolas" w:cs="Consolas"/>
                <w:sz w:val="15"/>
              </w:rPr>
              <w:t xml:space="preserve">buscar("PrecBolsNaci")</w:t>
            </w:r>
            <w:r>
              <w:rPr>
                <w:sz w:val="15"/>
              </w:rPr>
              <w:t xml:space="preserve"> devuelve </w:t>
            </w:r>
            <w:r>
              <w:rPr>
                <w:rFonts w:ascii="Consolas" w:hAnsi="Consolas" w:cs="Consolas"/>
                <w:sz w:val="15"/>
              </w:rPr>
              <w:t xml:space="preserve">MetricUnits = COP/kWh</w:t>
            </w:r>
            <w:r>
              <w:rPr>
                <w:sz w:val="15"/>
              </w:rPr>
              <w:t xml:space="preserve">. La IA había respondido «viene en dólares por megavatio-hora (USD/MWh)»: es la alucinación que la guía pide detectar (fila 5 de la bitácora, Anexo A).</w:t>
            </w:r>
            <w:r/>
          </w:p>
        </w:tc>
      </w:tr>
      <w:tr>
        <w:trPr/>
        <w:tc>
          <w:tcPr>
            <w:tcBorders/>
            <w:tcW w:w="420" w:type="dxa"/>
            <w:vAlign w:val="center"/>
          </w:tcPr>
          <w:p>
            <w:pPr>
              <w:pStyle w:val="721"/>
              <w:pBdr/>
              <w:spacing/>
              <w:ind/>
              <w:jc w:val="center"/>
              <w:rPr/>
            </w:pPr>
            <w:r>
              <w:rPr>
                <w:sz w:val="15"/>
              </w:rPr>
              <w:t xml:space="preserve">2</w:t>
            </w:r>
            <w:r/>
          </w:p>
        </w:tc>
        <w:tc>
          <w:tcPr>
            <w:tcBorders/>
            <w:tcW w:w="2900" w:type="dxa"/>
            <w:vAlign w:val="center"/>
          </w:tcPr>
          <w:p>
            <w:pPr>
              <w:pStyle w:val="721"/>
              <w:pBdr/>
              <w:spacing/>
              <w:ind/>
              <w:jc w:val="left"/>
              <w:rPr/>
            </w:pPr>
            <w:r>
              <w:rPr>
                <w:sz w:val="15"/>
              </w:rPr>
              <w:t xml:space="preserve">El precio diario más alto del cuaderno debería ser COP 1.513/kWh, porque eso reportó la prensa.</w:t>
            </w:r>
            <w:r/>
          </w:p>
        </w:tc>
        <w:tc>
          <w:tcPr>
            <w:tcBorders/>
            <w:tcW w:w="1500" w:type="dxa"/>
            <w:vAlign w:val="center"/>
          </w:tcPr>
          <w:p>
            <w:pPr>
              <w:pStyle w:val="721"/>
              <w:pBdr/>
              <w:spacing/>
              <w:ind/>
              <w:jc w:val="center"/>
              <w:rPr/>
            </w:pPr>
            <w:r>
              <w:rPr>
                <w:sz w:val="15"/>
              </w:rPr>
              <w:t xml:space="preserve">No se sostiene</w:t>
            </w:r>
            <w:r/>
          </w:p>
        </w:tc>
        <w:tc>
          <w:tcPr>
            <w:tcBorders/>
            <w:tcW w:w="4180" w:type="dxa"/>
            <w:vAlign w:val="center"/>
          </w:tcPr>
          <w:p>
            <w:pPr>
              <w:pStyle w:val="721"/>
              <w:pBdr/>
              <w:spacing/>
              <w:ind/>
              <w:jc w:val="left"/>
              <w:rPr/>
            </w:pPr>
            <w:r>
              <w:rPr>
                <w:sz w:val="15"/>
              </w:rPr>
              <w:t xml:space="preserve">Celda 5.2: «Día de precio más alto: 2024-09-30 con COP 2,499/kWh (promedio de sus 24 horas)». El dato de prensa (1.513) es el máximo de una hora del 18-09-2026; la serie diaria promedia 24 horas, así que un pico horario no puede ser el día más caro.</w:t>
            </w:r>
            <w:r/>
          </w:p>
        </w:tc>
      </w:tr>
      <w:tr>
        <w:trPr/>
        <w:tc>
          <w:tcPr>
            <w:tcBorders/>
            <w:tcW w:w="420" w:type="dxa"/>
            <w:vAlign w:val="center"/>
          </w:tcPr>
          <w:p>
            <w:pPr>
              <w:pStyle w:val="721"/>
              <w:pBdr/>
              <w:spacing/>
              <w:ind/>
              <w:jc w:val="center"/>
              <w:rPr/>
            </w:pPr>
            <w:r>
              <w:rPr>
                <w:sz w:val="15"/>
              </w:rPr>
              <w:t xml:space="preserve">3</w:t>
            </w:r>
            <w:r/>
          </w:p>
        </w:tc>
        <w:tc>
          <w:tcPr>
            <w:tcBorders/>
            <w:tcW w:w="2900" w:type="dxa"/>
            <w:vAlign w:val="center"/>
          </w:tcPr>
          <w:p>
            <w:pPr>
              <w:pStyle w:val="721"/>
              <w:pBdr/>
              <w:spacing/>
              <w:ind/>
              <w:jc w:val="left"/>
              <w:rPr/>
            </w:pPr>
            <w:r>
              <w:rPr>
                <w:sz w:val="15"/>
              </w:rPr>
              <w:t xml:space="preserve">Una caja más alta en el diagrama de caja significa que el precio fue más caro todo el año.</w:t>
            </w:r>
            <w:r/>
          </w:p>
        </w:tc>
        <w:tc>
          <w:tcPr>
            <w:tcBorders/>
            <w:tcW w:w="1500" w:type="dxa"/>
            <w:vAlign w:val="center"/>
          </w:tcPr>
          <w:p>
            <w:pPr>
              <w:pStyle w:val="721"/>
              <w:pBdr/>
              <w:spacing/>
              <w:ind/>
              <w:jc w:val="center"/>
              <w:rPr/>
            </w:pPr>
            <w:r>
              <w:rPr>
                <w:sz w:val="15"/>
              </w:rPr>
              <w:t xml:space="preserve">No se sostiene</w:t>
            </w:r>
            <w:r/>
          </w:p>
        </w:tc>
        <w:tc>
          <w:tcPr>
            <w:tcBorders/>
            <w:tcW w:w="4180" w:type="dxa"/>
            <w:vAlign w:val="center"/>
          </w:tcPr>
          <w:p>
            <w:pPr>
              <w:pStyle w:val="721"/>
              <w:pBdr/>
              <w:spacing/>
              <w:ind/>
              <w:jc w:val="left"/>
              <w:rPr/>
            </w:pPr>
            <w:r>
              <w:rPr>
                <w:sz w:val="15"/>
              </w:rPr>
              <w:t xml:space="preserve">Celda 5.1: </w:t>
            </w:r>
            <w:r>
              <w:rPr>
                <w:rFonts w:ascii="Consolas" w:hAnsi="Consolas" w:cs="Consolas"/>
                <w:sz w:val="15"/>
              </w:rPr>
              <w:t xml:space="preserve">boxplot(..., by="anio")</w:t>
            </w:r>
            <w:r>
              <w:rPr>
                <w:sz w:val="15"/>
              </w:rPr>
              <w:t xml:space="preserve"> con </w:t>
            </w:r>
            <w:r>
              <w:rPr>
                <w:rFonts w:ascii="Consolas" w:hAnsi="Consolas" w:cs="Consolas"/>
                <w:sz w:val="15"/>
              </w:rPr>
              <w:t xml:space="preserve">set_xlabel("Año")</w:t>
            </w:r>
            <w:r>
              <w:rPr>
                <w:sz w:val="15"/>
              </w:rPr>
              <w:t xml:space="preserve"> (✅ 5.1). La altura de la caja es la distancia entre el primer y el tercer cuartil: mide dispersión, no nivel. El nivel se lee en la media (celda 1.1: 434,26 COP/kWh).</w:t>
            </w:r>
            <w:r/>
          </w:p>
        </w:tc>
      </w:tr>
      <w:tr>
        <w:trPr/>
        <w:tc>
          <w:tcPr>
            <w:tcBorders/>
            <w:tcW w:w="420" w:type="dxa"/>
            <w:vAlign w:val="center"/>
          </w:tcPr>
          <w:p>
            <w:pPr>
              <w:pStyle w:val="721"/>
              <w:pBdr/>
              <w:spacing/>
              <w:ind/>
              <w:jc w:val="center"/>
              <w:rPr/>
            </w:pPr>
            <w:r>
              <w:rPr>
                <w:sz w:val="15"/>
              </w:rPr>
              <w:t xml:space="preserve">4</w:t>
            </w:r>
            <w:r/>
          </w:p>
        </w:tc>
        <w:tc>
          <w:tcPr>
            <w:tcBorders/>
            <w:tcW w:w="2900" w:type="dxa"/>
            <w:vAlign w:val="center"/>
          </w:tcPr>
          <w:p>
            <w:pPr>
              <w:pStyle w:val="721"/>
              <w:pBdr/>
              <w:spacing/>
              <w:ind/>
              <w:jc w:val="left"/>
              <w:rPr/>
            </w:pPr>
            <w:r>
              <w:rPr>
                <w:sz w:val="15"/>
              </w:rPr>
              <w:t xml:space="preserve">2026 es el año con más días por encima de COP 1.000/kWh desde 2022.</w:t>
            </w:r>
            <w:r/>
          </w:p>
        </w:tc>
        <w:tc>
          <w:tcPr>
            <w:tcBorders/>
            <w:tcW w:w="1500" w:type="dxa"/>
            <w:vAlign w:val="center"/>
          </w:tcPr>
          <w:p>
            <w:pPr>
              <w:pStyle w:val="721"/>
              <w:pBdr/>
              <w:spacing/>
              <w:ind/>
              <w:jc w:val="center"/>
              <w:rPr/>
            </w:pPr>
            <w:r>
              <w:rPr>
                <w:sz w:val="15"/>
              </w:rPr>
              <w:t xml:space="preserve">No se sostiene</w:t>
            </w:r>
            <w:r/>
          </w:p>
        </w:tc>
        <w:tc>
          <w:tcPr>
            <w:tcBorders/>
            <w:tcW w:w="4180" w:type="dxa"/>
            <w:vAlign w:val="center"/>
          </w:tcPr>
          <w:p>
            <w:pPr>
              <w:pStyle w:val="721"/>
              <w:pBdr/>
              <w:spacing/>
              <w:ind/>
              <w:jc w:val="left"/>
              <w:rPr/>
            </w:pPr>
            <w:r>
              <w:rPr>
                <w:sz w:val="15"/>
              </w:rPr>
              <w:t xml:space="preserve">Celda 5.2: 2022 → 0 días · 2023 → 44 · 2024 → 55 · 2025 → 0 · 2026 → 16. El máximo es 2024. Con el error original (</w:t>
            </w:r>
            <w:r>
              <w:rPr>
                <w:rFonts w:ascii="Consolas" w:hAnsi="Consolas" w:cs="Consolas"/>
                <w:sz w:val="15"/>
              </w:rPr>
              <w:t xml:space="preserve">.mean()</w:t>
            </w:r>
            <w:r>
              <w:rPr>
                <w:sz w:val="15"/>
              </w:rPr>
              <w:t xml:space="preserve">) salían 0,12 · 0,15 · 0,05: fracciones, no días (✅ 5.2).</w:t>
            </w:r>
            <w:r/>
          </w:p>
        </w:tc>
      </w:tr>
    </w:tbl>
    <w:p>
      <w:pPr>
        <w:pStyle w:val="707"/>
        <w:pBdr/>
        <w:spacing w:after="0" w:before="0" w:line="120" w:lineRule="auto"/>
        <w:ind/>
        <w:rPr/>
      </w:pPr>
      <w:r/>
      <w:r/>
    </w:p>
    <w:p>
      <w:pPr>
        <w:pStyle w:val="716"/>
        <w:pBdr/>
        <w:spacing/>
        <w:ind/>
        <w:rPr/>
      </w:pPr>
      <w:r>
        <w:rPr>
          <w:sz w:val="19"/>
        </w:rPr>
        <w:t xml:space="preserve">Pregunta abierta. La respuesta debe contener: Qué significa este comportamiento del precio para una empresa que compra en bolsa frente a una que tiene contratos de largo plazo.</w:t>
      </w:r>
      <w:r/>
    </w:p>
    <w:p>
      <w:pPr>
        <w:pStyle w:val="707"/>
        <w:pBdr/>
        <w:spacing/>
        <w:ind/>
        <w:rPr/>
      </w:pPr>
      <w:r>
        <w:rPr>
          <w:sz w:val="22"/>
        </w:rPr>
        <w:t xml:space="preserve">Para una empresa que compra en bolsa, el precio es una exposición diaria: en 2026 hubo 16 días por encima de COP 1.000/kWh y el promedio de septiembre fue 219 % más alto que </w:t>
      </w:r>
      <w:r>
        <w:rPr>
          <w:sz w:val="22"/>
        </w:rPr>
        <w:t xml:space="preserve">el de enero, así que la factura de cada mes depende de qué días se consumieron y no solo del promedio del mes. Para una empresa con contrato de largo plazo, esa volatilidad ya está pactada: el precio es fijo, pero a cambio se renuncia a capturar los precio</w:t>
      </w:r>
      <w:r>
        <w:rPr>
          <w:sz w:val="22"/>
        </w:rPr>
        <w:t xml:space="preserve">s bajos, y el cuaderno muestra que hubo años completos (2022 y 2025) sin un solo día por encima de COP 1.000/kWh. Las dos estrategias compran la misma energía, y por eso el resultado no depende solo del nivel de la demanda: depende del mes en que se pacta </w:t>
      </w:r>
      <w:r>
        <w:rPr>
          <w:sz w:val="22"/>
        </w:rPr>
        <w:t xml:space="preserve">el contrato. No pretendemos una recomendación financiera; el cuaderno no tiene precios de contratos, costos de cobertura ni el perfil de carga de nuestra empresa, y sin esas tres cifras cualquier recomendación sería una conjetura con formato de conclusión.</w:t>
      </w:r>
      <w:r/>
    </w:p>
    <w:p>
      <w:pPr>
        <w:pStyle w:val="722"/>
        <w:keepNext w:val="true"/>
        <w:pBdr/>
        <w:spacing/>
        <w:ind/>
        <w:rPr/>
      </w:pPr>
      <w:r>
        <mc:AlternateContent>
          <mc:Choice Requires="wpg">
            <w:drawing>
              <wp:inline xmlns:wp="http://schemas.openxmlformats.org/drawingml/2006/wordprocessingDrawing" distT="0" distB="0" distL="0" distR="0">
                <wp:extent cx="4320000" cy="1819656"/>
                <wp:effectExtent l="0" t="0" r="0" b="0"/>
                <wp:docPr id="4" nam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4_precio.png"/>
                        <pic:cNvPicPr>
                          <a:picLocks noChangeAspect="1"/>
                        </pic:cNvPicPr>
                        <pic:nvPr/>
                      </pic:nvPicPr>
                      <pic:blipFill rotWithShape="1">
                        <a:blip r:embed="rId15"/>
                        <a:stretch/>
                      </pic:blipFill>
                      <pic:spPr bwMode="auto">
                        <a:xfrm>
                          <a:off x="0" y="0"/>
                          <a:ext cx="4320000" cy="18196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40.16pt;height:143.28pt;mso-wrap-distance-left:0.00pt;mso-wrap-distance-top:0.00pt;mso-wrap-distance-right:0.00pt;mso-wrap-distance-bottom:0.00pt;z-index:1;" stroked="false">
                <v:imagedata r:id="rId15" o:title=""/>
                <o:lock v:ext="edit" rotation="t"/>
              </v:shape>
            </w:pict>
          </mc:Fallback>
        </mc:AlternateContent>
      </w:r>
      <w:r/>
    </w:p>
    <w:p>
      <w:pPr>
        <w:pStyle w:val="723"/>
        <w:pBdr/>
        <w:spacing/>
        <w:ind/>
        <w:rPr/>
      </w:pPr>
      <w:r>
        <w:rPr>
          <w:b/>
        </w:rPr>
        <w:t xml:space="preserve">Figura 4.</w:t>
      </w:r>
      <w:r>
        <w:rPr>
          <w:i/>
        </w:rPr>
        <w:t xml:space="preserve"> Distribución del precio de bolsa por año (2022-2026)</w:t>
      </w:r>
      <w:r/>
    </w:p>
    <w:p>
      <w:pPr>
        <w:pStyle w:val="724"/>
        <w:pBdr/>
        <w:spacing/>
        <w:ind/>
        <w:rPr/>
      </w:pPr>
      <w:r>
        <w:rPr>
          <w:i/>
        </w:rPr>
        <w:t xml:space="preserve">Elaboración propia sobre datos/xm_diario.csv (API pública de XM); misma figura de la celda 5.1, redibujada a escala de impresión.</w:t>
      </w:r>
      <w:r/>
    </w:p>
    <w:p>
      <w:pPr>
        <w:pStyle w:val="708"/>
        <w:pBdr/>
        <w:spacing/>
        <w:ind/>
        <w:rPr/>
      </w:pPr>
      <w:r>
        <w:rPr>
          <w:sz w:val="28"/>
        </w:rPr>
        <w:t xml:space="preserve">7. Pregunta 6 · ¿Existe relación entre embalses y precio? ¿Qué se puede concluir?</w:t>
      </w:r>
      <w:r/>
    </w:p>
    <w:p>
      <w:pPr>
        <w:pStyle w:val="715"/>
        <w:pBdr/>
        <w:spacing/>
        <w:ind/>
        <w:rPr/>
      </w:pPr>
      <w:r>
        <w:rPr>
          <w:sz w:val="19"/>
        </w:rPr>
        <w:t xml:space="preserve">Responsable: Lina Bastidas (EST) · Revisó: Anderson Silva (ENE) · Cuaderno: Misión 6, celdas 6.1 y 6.2</w:t>
      </w:r>
      <w:r/>
    </w:p>
    <w:p>
      <w:pPr>
        <w:pStyle w:val="719"/>
        <w:pBdr/>
        <w:spacing/>
        <w:ind/>
        <w:rPr/>
      </w:pPr>
      <w:r>
        <w:rPr>
          <w:b/>
        </w:rPr>
        <w:t xml:space="preserve">Tabla 11.</w:t>
      </w:r>
      <w:r>
        <w:rPr>
          <w:i/>
        </w:rPr>
        <w:t xml:space="preserve">  Afirmaciones evaluadas en la Pregunta 6</w:t>
      </w:r>
      <w:r/>
    </w:p>
    <w:tbl>
      <w:tblPr>
        <w:tblW w:w="5000" w:type="pct"/>
        <w:tblCellMar>
          <w:left w:w="60" w:type="dxa"/>
          <w:top w:w="32" w:type="dxa"/>
          <w:right w:w="60" w:type="dxa"/>
          <w:bottom w:w="32" w:type="dxa"/>
        </w:tblCellMar>
        <w:tblBorders>
          <w:top w:val="single" w:color="a8d08d" w:sz="4" w:space="0"/>
          <w:left w:val="single" w:color="a8d08d" w:sz="4" w:space="0"/>
          <w:bottom w:val="single" w:color="a8d08d" w:sz="4" w:space="0"/>
          <w:right w:val="single" w:color="a8d08d" w:sz="4" w:space="0"/>
          <w:insideH w:val="single" w:color="a8d08d" w:sz="4" w:space="0"/>
          <w:insideV w:val="single" w:color="a8d08d" w:sz="4" w:space="0"/>
        </w:tblBorders>
        <w:tblLayout w:type="fixed"/>
        <w:tblLook w:val="04A0" w:firstRow="1" w:lastRow="0" w:firstColumn="1" w:lastColumn="0" w:noHBand="0" w:noVBand="1"/>
      </w:tblPr>
      <w:tblGrid>
        <w:gridCol w:w="420"/>
        <w:gridCol w:w="2900"/>
        <w:gridCol w:w="1500"/>
        <w:gridCol w:w="4180"/>
      </w:tblGrid>
      <w:tr>
        <w:trPr>
          <w:cantSplit/>
          <w:tblHeader/>
        </w:trPr>
        <w:tc>
          <w:tcPr>
            <w:shd w:val="clear" w:color="auto" w:fill="e2efd9"/>
            <w:tcBorders/>
            <w:tcW w:w="420" w:type="dxa"/>
            <w:vAlign w:val="center"/>
          </w:tcPr>
          <w:p>
            <w:pPr>
              <w:pStyle w:val="720"/>
              <w:pBdr/>
              <w:spacing/>
              <w:ind/>
              <w:jc w:val="center"/>
              <w:rPr/>
            </w:pPr>
            <w:r>
              <w:rPr>
                <w:b/>
                <w:sz w:val="15"/>
              </w:rPr>
              <w:t xml:space="preserve">#</w:t>
            </w:r>
            <w:r/>
          </w:p>
        </w:tc>
        <w:tc>
          <w:tcPr>
            <w:shd w:val="clear" w:color="auto" w:fill="e2efd9"/>
            <w:tcBorders/>
            <w:tcW w:w="2900" w:type="dxa"/>
            <w:vAlign w:val="center"/>
          </w:tcPr>
          <w:p>
            <w:pPr>
              <w:pStyle w:val="720"/>
              <w:pBdr/>
              <w:spacing/>
              <w:ind/>
              <w:jc w:val="center"/>
              <w:rPr/>
            </w:pPr>
            <w:r>
              <w:rPr>
                <w:b/>
                <w:sz w:val="15"/>
              </w:rPr>
              <w:t xml:space="preserve">Afirmación</w:t>
            </w:r>
            <w:r/>
          </w:p>
        </w:tc>
        <w:tc>
          <w:tcPr>
            <w:shd w:val="clear" w:color="auto" w:fill="e2efd9"/>
            <w:tcBorders/>
            <w:tcW w:w="1500" w:type="dxa"/>
            <w:vAlign w:val="center"/>
          </w:tcPr>
          <w:p>
            <w:pPr>
              <w:pStyle w:val="720"/>
              <w:pBdr/>
              <w:spacing/>
              <w:ind/>
              <w:jc w:val="center"/>
              <w:rPr/>
            </w:pPr>
            <w:r>
              <w:rPr>
                <w:b/>
                <w:sz w:val="15"/>
              </w:rPr>
              <w:t xml:space="preserve">Veredicto</w:t>
            </w:r>
            <w:r/>
          </w:p>
        </w:tc>
        <w:tc>
          <w:tcPr>
            <w:shd w:val="clear" w:color="auto" w:fill="e2efd9"/>
            <w:tcBorders/>
            <w:tcW w:w="4180" w:type="dxa"/>
            <w:vAlign w:val="center"/>
          </w:tcPr>
          <w:p>
            <w:pPr>
              <w:pStyle w:val="720"/>
              <w:pBdr/>
              <w:spacing/>
              <w:ind/>
              <w:jc w:val="center"/>
              <w:rPr/>
            </w:pPr>
            <w:r>
              <w:rPr>
                <w:b/>
                <w:sz w:val="15"/>
              </w:rPr>
              <w:t xml:space="preserve">Evidencia del cuaderno</w:t>
            </w:r>
            <w:r/>
          </w:p>
        </w:tc>
      </w:tr>
      <w:tr>
        <w:trPr/>
        <w:tc>
          <w:tcPr>
            <w:tcBorders/>
            <w:tcW w:w="420" w:type="dxa"/>
            <w:vAlign w:val="center"/>
          </w:tcPr>
          <w:p>
            <w:pPr>
              <w:pStyle w:val="721"/>
              <w:pBdr/>
              <w:spacing/>
              <w:ind/>
              <w:jc w:val="center"/>
              <w:rPr/>
            </w:pPr>
            <w:r>
              <w:rPr>
                <w:sz w:val="15"/>
              </w:rPr>
              <w:t xml:space="preserve">1</w:t>
            </w:r>
            <w:r/>
          </w:p>
        </w:tc>
        <w:tc>
          <w:tcPr>
            <w:tcBorders/>
            <w:tcW w:w="2900" w:type="dxa"/>
            <w:vAlign w:val="center"/>
          </w:tcPr>
          <w:p>
            <w:pPr>
              <w:pStyle w:val="721"/>
              <w:pBdr/>
              <w:spacing/>
              <w:ind/>
              <w:jc w:val="left"/>
              <w:rPr/>
            </w:pPr>
            <w:r>
              <w:rPr>
                <w:sz w:val="15"/>
              </w:rPr>
              <w:t xml:space="preserve">Como la correlación entre embalses y precio es negativa, bajar los embalses causa que suba el precio.</w:t>
            </w:r>
            <w:r/>
          </w:p>
        </w:tc>
        <w:tc>
          <w:tcPr>
            <w:tcBorders/>
            <w:tcW w:w="1500" w:type="dxa"/>
            <w:vAlign w:val="center"/>
          </w:tcPr>
          <w:p>
            <w:pPr>
              <w:pStyle w:val="721"/>
              <w:pBdr/>
              <w:spacing/>
              <w:ind/>
              <w:jc w:val="center"/>
              <w:rPr/>
            </w:pPr>
            <w:r>
              <w:rPr>
                <w:sz w:val="15"/>
              </w:rPr>
              <w:t xml:space="preserve">No se sostiene</w:t>
            </w:r>
            <w:r/>
          </w:p>
        </w:tc>
        <w:tc>
          <w:tcPr>
            <w:tcBorders/>
            <w:tcW w:w="4180" w:type="dxa"/>
            <w:vAlign w:val="center"/>
          </w:tcPr>
          <w:p>
            <w:pPr>
              <w:pStyle w:val="721"/>
              <w:pBdr/>
              <w:spacing/>
              <w:ind/>
              <w:jc w:val="left"/>
              <w:rPr/>
            </w:pPr>
            <w:r>
              <w:rPr>
                <w:sz w:val="15"/>
              </w:rPr>
              <w:t xml:space="preserve">Celda 6.2: Pearson −0,226 y Spearman −0,252, asociaciones débiles. La correlación no establece causalidad: embalses y precio responden a un tercero común (clima, aportes, demanda).</w:t>
            </w:r>
            <w:r/>
          </w:p>
        </w:tc>
      </w:tr>
      <w:tr>
        <w:trPr/>
        <w:tc>
          <w:tcPr>
            <w:tcBorders/>
            <w:tcW w:w="420" w:type="dxa"/>
            <w:vAlign w:val="center"/>
          </w:tcPr>
          <w:p>
            <w:pPr>
              <w:pStyle w:val="721"/>
              <w:pBdr/>
              <w:spacing/>
              <w:ind/>
              <w:jc w:val="center"/>
              <w:rPr/>
            </w:pPr>
            <w:r>
              <w:rPr>
                <w:sz w:val="15"/>
              </w:rPr>
              <w:t xml:space="preserve">2</w:t>
            </w:r>
            <w:r/>
          </w:p>
        </w:tc>
        <w:tc>
          <w:tcPr>
            <w:tcBorders/>
            <w:tcW w:w="2900" w:type="dxa"/>
            <w:vAlign w:val="center"/>
          </w:tcPr>
          <w:p>
            <w:pPr>
              <w:pStyle w:val="721"/>
              <w:pBdr/>
              <w:spacing/>
              <w:ind/>
              <w:jc w:val="left"/>
              <w:rPr/>
            </w:pPr>
            <w:r>
              <w:rPr>
                <w:sz w:val="15"/>
              </w:rPr>
              <w:t xml:space="preserve">Si Spearman es más fuerte que Pearson en valor absoluto, la relación es monótona pero no necesariamente lineal.</w:t>
            </w:r>
            <w:r/>
          </w:p>
        </w:tc>
        <w:tc>
          <w:tcPr>
            <w:tcBorders/>
            <w:tcW w:w="1500" w:type="dxa"/>
            <w:vAlign w:val="center"/>
          </w:tcPr>
          <w:p>
            <w:pPr>
              <w:pStyle w:val="721"/>
              <w:pBdr/>
              <w:spacing/>
              <w:ind/>
              <w:jc w:val="center"/>
              <w:rPr/>
            </w:pPr>
            <w:r>
              <w:rPr>
                <w:sz w:val="15"/>
              </w:rPr>
              <w:t xml:space="preserve">Se sostiene</w:t>
            </w:r>
            <w:r/>
          </w:p>
        </w:tc>
        <w:tc>
          <w:tcPr>
            <w:tcBorders/>
            <w:tcW w:w="4180" w:type="dxa"/>
            <w:vAlign w:val="center"/>
          </w:tcPr>
          <w:p>
            <w:pPr>
              <w:pStyle w:val="721"/>
              <w:pBdr/>
              <w:spacing/>
              <w:ind/>
              <w:jc w:val="left"/>
              <w:rPr/>
            </w:pPr>
            <w:r>
              <w:rPr>
                <w:sz w:val="15"/>
              </w:rPr>
              <w:t xml:space="preserve">Celda 6.2: |−0,252| &gt; |−0,226| (✅ 6.3). Spearman mide asociación monótona; Pearson, linealidad. Antes de corregir, la línea de Spearman repetía </w:t>
            </w:r>
            <w:r>
              <w:rPr>
                <w:rFonts w:ascii="Consolas" w:hAnsi="Consolas" w:cs="Consolas"/>
                <w:sz w:val="15"/>
              </w:rPr>
              <w:t xml:space="preserve">method="pearson"</w:t>
            </w:r>
            <w:r>
              <w:rPr>
                <w:sz w:val="15"/>
              </w:rPr>
              <w:t xml:space="preserve"> y ambas salían −0,226.</w:t>
            </w:r>
            <w:r/>
          </w:p>
        </w:tc>
      </w:tr>
      <w:tr>
        <w:trPr/>
        <w:tc>
          <w:tcPr>
            <w:tcBorders/>
            <w:tcW w:w="420" w:type="dxa"/>
            <w:vAlign w:val="center"/>
          </w:tcPr>
          <w:p>
            <w:pPr>
              <w:pStyle w:val="721"/>
              <w:pBdr/>
              <w:spacing/>
              <w:ind/>
              <w:jc w:val="center"/>
              <w:rPr/>
            </w:pPr>
            <w:r>
              <w:rPr>
                <w:sz w:val="15"/>
              </w:rPr>
              <w:t xml:space="preserve">3</w:t>
            </w:r>
            <w:r/>
          </w:p>
        </w:tc>
        <w:tc>
          <w:tcPr>
            <w:tcBorders/>
            <w:tcW w:w="2900" w:type="dxa"/>
            <w:vAlign w:val="center"/>
          </w:tcPr>
          <w:p>
            <w:pPr>
              <w:pStyle w:val="721"/>
              <w:pBdr/>
              <w:spacing/>
              <w:ind/>
              <w:jc w:val="left"/>
              <w:rPr/>
            </w:pPr>
            <w:r>
              <w:rPr>
                <w:sz w:val="15"/>
              </w:rPr>
              <w:t xml:space="preserve">La relación entre embalses y precio fue igual de fuerte todos los años.</w:t>
            </w:r>
            <w:r/>
          </w:p>
        </w:tc>
        <w:tc>
          <w:tcPr>
            <w:tcBorders/>
            <w:tcW w:w="1500" w:type="dxa"/>
            <w:vAlign w:val="center"/>
          </w:tcPr>
          <w:p>
            <w:pPr>
              <w:pStyle w:val="721"/>
              <w:pBdr/>
              <w:spacing/>
              <w:ind/>
              <w:jc w:val="center"/>
              <w:rPr/>
            </w:pPr>
            <w:r>
              <w:rPr>
                <w:sz w:val="15"/>
              </w:rPr>
              <w:t xml:space="preserve">No se sostiene</w:t>
            </w:r>
            <w:r/>
          </w:p>
        </w:tc>
        <w:tc>
          <w:tcPr>
            <w:tcBorders/>
            <w:tcW w:w="4180" w:type="dxa"/>
            <w:vAlign w:val="center"/>
          </w:tcPr>
          <w:p>
            <w:pPr>
              <w:pStyle w:val="721"/>
              <w:pBdr/>
              <w:spacing/>
              <w:ind/>
              <w:jc w:val="left"/>
              <w:rPr/>
            </w:pPr>
            <w:r>
              <w:rPr>
                <w:sz w:val="15"/>
              </w:rPr>
              <w:t xml:space="preserve">Celda 6.2, Spearman por año: 2022 −0,05 · 2023 +0,30 · 2024 0,00 · 2025 −0,04 · 2026 +0,39. El signo cambia: la relación no es estable entre años.</w:t>
            </w:r>
            <w:r/>
          </w:p>
        </w:tc>
      </w:tr>
      <w:tr>
        <w:trPr/>
        <w:tc>
          <w:tcPr>
            <w:tcBorders/>
            <w:tcW w:w="420" w:type="dxa"/>
            <w:vAlign w:val="center"/>
          </w:tcPr>
          <w:p>
            <w:pPr>
              <w:pStyle w:val="721"/>
              <w:pBdr/>
              <w:spacing/>
              <w:ind/>
              <w:jc w:val="center"/>
              <w:rPr/>
            </w:pPr>
            <w:r>
              <w:rPr>
                <w:sz w:val="15"/>
              </w:rPr>
              <w:t xml:space="preserve">4</w:t>
            </w:r>
            <w:r/>
          </w:p>
        </w:tc>
        <w:tc>
          <w:tcPr>
            <w:tcBorders/>
            <w:tcW w:w="2900" w:type="dxa"/>
            <w:vAlign w:val="center"/>
          </w:tcPr>
          <w:p>
            <w:pPr>
              <w:pStyle w:val="721"/>
              <w:pBdr/>
              <w:spacing/>
              <w:ind/>
              <w:jc w:val="left"/>
              <w:rPr/>
            </w:pPr>
            <w:r>
              <w:rPr>
                <w:sz w:val="15"/>
              </w:rPr>
              <w:t xml:space="preserve">Escribir = en lugar de == en un filtro solo cambia el estilo del código.</w:t>
            </w:r>
            <w:r/>
          </w:p>
        </w:tc>
        <w:tc>
          <w:tcPr>
            <w:tcBorders/>
            <w:tcW w:w="1500" w:type="dxa"/>
            <w:vAlign w:val="center"/>
          </w:tcPr>
          <w:p>
            <w:pPr>
              <w:pStyle w:val="721"/>
              <w:pBdr/>
              <w:spacing/>
              <w:ind/>
              <w:jc w:val="center"/>
              <w:rPr/>
            </w:pPr>
            <w:r>
              <w:rPr>
                <w:sz w:val="15"/>
              </w:rPr>
              <w:t xml:space="preserve">No se sostiene</w:t>
            </w:r>
            <w:r/>
          </w:p>
        </w:tc>
        <w:tc>
          <w:tcPr>
            <w:tcBorders/>
            <w:tcW w:w="4180" w:type="dxa"/>
            <w:vAlign w:val="center"/>
          </w:tcPr>
          <w:p>
            <w:pPr>
              <w:pStyle w:val="721"/>
              <w:pBdr/>
              <w:spacing/>
              <w:ind/>
              <w:jc w:val="left"/>
              <w:rPr/>
            </w:pPr>
            <w:r>
              <w:rPr>
                <w:sz w:val="15"/>
              </w:rPr>
              <w:t xml:space="preserve">Celda 6.1: el filtro de cada año es </w:t>
            </w:r>
            <w:r>
              <w:rPr>
                <w:rFonts w:ascii="Consolas" w:hAnsi="Consolas" w:cs="Consolas"/>
                <w:sz w:val="15"/>
              </w:rPr>
              <w:t xml:space="preserve">df_limpio[df_limpio["anio"] == anio]</w:t>
            </w:r>
            <w:r>
              <w:rPr>
                <w:sz w:val="15"/>
              </w:rPr>
              <w:t xml:space="preserve">. </w:t>
            </w:r>
            <w:r>
              <w:rPr>
                <w:rFonts w:ascii="Consolas" w:hAnsi="Consolas" w:cs="Consolas"/>
                <w:sz w:val="15"/>
              </w:rPr>
              <w:t xml:space="preserve">=</w:t>
            </w:r>
            <w:r>
              <w:rPr>
                <w:sz w:val="15"/>
              </w:rPr>
              <w:t xml:space="preserve"> asigna y devuelve un booleano: el filtro no seleccionaría ningún día y la dispersión saldría vacía, sin mensaje de error.</w:t>
            </w:r>
            <w:r/>
          </w:p>
        </w:tc>
      </w:tr>
    </w:tbl>
    <w:p>
      <w:pPr>
        <w:pStyle w:val="707"/>
        <w:pBdr/>
        <w:spacing w:after="0" w:before="0" w:line="120" w:lineRule="auto"/>
        <w:ind/>
        <w:rPr/>
      </w:pPr>
      <w:r/>
      <w:r/>
    </w:p>
    <w:p>
      <w:pPr>
        <w:pStyle w:val="716"/>
        <w:pBdr/>
        <w:spacing/>
        <w:ind/>
        <w:rPr/>
      </w:pPr>
      <w:r>
        <w:rPr>
          <w:sz w:val="19"/>
        </w:rPr>
        <w:t xml:space="preserve">Pregunta abierta. La respuesta debe contener: Dos variables que podrían explicar al mismo tiempo el nivel de los embalses y el precio, y de qué fuente pública podrían obtenerse.</w:t>
      </w:r>
      <w:r/>
    </w:p>
    <w:p>
      <w:pPr>
        <w:pStyle w:val="707"/>
        <w:pBdr/>
        <w:spacing/>
        <w:ind/>
        <w:rPr/>
      </w:pPr>
      <w:r>
        <w:rPr>
          <w:sz w:val="22"/>
        </w:rPr>
        <w:t xml:space="preserve">Dos variables explicarían al mismo tiempo el nivel de los embalses y el precio.</w:t>
      </w:r>
      <w:r/>
    </w:p>
    <w:p>
      <w:pPr>
        <w:pStyle w:val="707"/>
        <w:pBdr/>
        <w:spacing/>
        <w:ind/>
        <w:rPr/>
      </w:pPr>
      <w:r>
        <w:rPr>
          <w:sz w:val="22"/>
        </w:rPr>
        <w:t xml:space="preserve">La primera es la disponibilidad de ag</w:t>
      </w:r>
      <w:r>
        <w:rPr>
          <w:sz w:val="22"/>
        </w:rPr>
        <w:t xml:space="preserve">ua: los aportes de los ríos a los embalses y, con ellos, el volumen útil almacenable. Fuente pública: la API de XM —la misma que usa el cuaderno, con los identificadores VoluUtilDiarEner y CapaUtilDiarEner— y su catálogo de 193 métricas (celda 0.4), donde </w:t>
      </w:r>
      <w:r>
        <w:rPr>
          <w:rFonts w:ascii="Consolas" w:hAnsi="Consolas" w:cs="Consolas"/>
          <w:sz w:val="22"/>
        </w:rPr>
        <w:t xml:space="preserve">buscar()</w:t>
      </w:r>
      <w:r>
        <w:rPr>
          <w:sz w:val="22"/>
        </w:rPr>
        <w:t xml:space="preserve"> localiza el indicador exacto; complementariamente, IDEAM publica el caudal de los ríos en su Sistema de Información Hidrológica.</w:t>
      </w:r>
      <w:r/>
    </w:p>
    <w:p>
      <w:pPr>
        <w:pStyle w:val="707"/>
        <w:pBdr/>
        <w:spacing/>
        <w:ind/>
        <w:rPr/>
      </w:pPr>
      <w:r>
        <w:rPr>
          <w:sz w:val="22"/>
        </w:rPr>
        <w:t xml:space="preserve">La segunda es la temperatura media y la demanda</w:t>
      </w:r>
      <w:r>
        <w:rPr>
          <w:sz w:val="22"/>
        </w:rPr>
        <w:t xml:space="preserve"> de refrigeración. Un verano más cálido eleva el consumo y, a la vez, coincide con una temporada seca que reduce los aportes: eso empuja a la vez el precio hacia arriba y el nivel de embalses hacia abajo. Fuente pública: IDEAM (temperaturas) y XM (demanda </w:t>
      </w:r>
      <w:r>
        <w:rPr>
          <w:rFonts w:ascii="Consolas" w:hAnsi="Consolas" w:cs="Consolas"/>
          <w:sz w:val="22"/>
        </w:rPr>
        <w:t xml:space="preserve">DemaCome</w:t>
      </w:r>
      <w:r>
        <w:rPr>
          <w:sz w:val="22"/>
        </w:rPr>
        <w:t xml:space="preserve"> y precio de bolsa).</w:t>
      </w:r>
      <w:r/>
    </w:p>
    <w:p>
      <w:pPr>
        <w:pStyle w:val="707"/>
        <w:pBdr/>
        <w:spacing/>
        <w:ind/>
        <w:rPr/>
      </w:pPr>
      <w:r>
        <w:rPr>
          <w:sz w:val="22"/>
        </w:rPr>
        <w:t xml:space="preserve">Son dos candidatos plausibles, no una explicación causal probada. El cuaderno</w:t>
      </w:r>
      <w:r>
        <w:rPr>
          <w:sz w:val="22"/>
        </w:rPr>
        <w:t xml:space="preserve"> no incluye ninguna de las dos variables, y por eso la correlación entre embalses y precio es débil y cambia de signo según el año: con ellas (más la producción industrial y los días de calor) se podría construir un modelo explicativo, no solo descriptivo.</w:t>
      </w:r>
      <w:r/>
    </w:p>
    <w:p>
      <w:pPr>
        <w:pStyle w:val="722"/>
        <w:keepNext w:val="true"/>
        <w:pBdr/>
        <w:spacing/>
        <w:ind/>
        <w:rPr/>
      </w:pPr>
      <w:r>
        <mc:AlternateContent>
          <mc:Choice Requires="wpg">
            <w:drawing>
              <wp:inline xmlns:wp="http://schemas.openxmlformats.org/drawingml/2006/wordprocessingDrawing" distT="0" distB="0" distL="0" distR="0">
                <wp:extent cx="3960000" cy="2283271"/>
                <wp:effectExtent l="0" t="0" r="0" b="0"/>
                <wp:docPr id="5" nam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5_dispersion.png"/>
                        <pic:cNvPicPr>
                          <a:picLocks noChangeAspect="1"/>
                        </pic:cNvPicPr>
                        <pic:nvPr/>
                      </pic:nvPicPr>
                      <pic:blipFill rotWithShape="1">
                        <a:blip r:embed="rId16"/>
                        <a:stretch/>
                      </pic:blipFill>
                      <pic:spPr bwMode="auto">
                        <a:xfrm>
                          <a:off x="0" y="0"/>
                          <a:ext cx="3960000" cy="22832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11.81pt;height:179.79pt;mso-wrap-distance-left:0.00pt;mso-wrap-distance-top:0.00pt;mso-wrap-distance-right:0.00pt;mso-wrap-distance-bottom:0.00pt;z-index:1;" stroked="false">
                <v:imagedata r:id="rId16" o:title=""/>
                <o:lock v:ext="edit" rotation="t"/>
              </v:shape>
            </w:pict>
          </mc:Fallback>
        </mc:AlternateContent>
      </w:r>
      <w:r/>
    </w:p>
    <w:p>
      <w:pPr>
        <w:pStyle w:val="723"/>
        <w:pBdr/>
        <w:spacing/>
        <w:ind/>
        <w:rPr/>
      </w:pPr>
      <w:r>
        <w:rPr>
          <w:b/>
        </w:rPr>
        <w:t xml:space="preserve">Figura 5.</w:t>
      </w:r>
      <w:r>
        <w:rPr>
          <w:i/>
        </w:rPr>
        <w:t xml:space="preserve"> Dispersión entre el nivel de los embalses y el precio de bolsa, un color por año</w:t>
      </w:r>
      <w:r/>
    </w:p>
    <w:p>
      <w:pPr>
        <w:pStyle w:val="724"/>
        <w:pBdr/>
        <w:spacing/>
        <w:ind/>
        <w:rPr/>
      </w:pPr>
      <w:r>
        <w:rPr>
          <w:i/>
        </w:rPr>
        <w:t xml:space="preserve">Elaboración propia sobre datos/xm_diario.csv (API pública de XM); misma figura de la celda 6.1.</w:t>
      </w:r>
      <w:r/>
    </w:p>
    <w:p>
      <w:pPr>
        <w:pStyle w:val="708"/>
        <w:pBdr/>
        <w:spacing/>
        <w:ind/>
        <w:rPr/>
      </w:pPr>
      <w:r>
        <w:rPr>
          <w:sz w:val="28"/>
        </w:rPr>
        <w:t xml:space="preserve">8. Pregunta 7 · ¿Cómo automatizamos el resumen y el semáforo de los embalses?</w:t>
      </w:r>
      <w:r/>
    </w:p>
    <w:p>
      <w:pPr>
        <w:pStyle w:val="715"/>
        <w:pBdr/>
        <w:spacing/>
        <w:ind/>
        <w:rPr/>
      </w:pPr>
      <w:r>
        <w:rPr>
          <w:sz w:val="19"/>
        </w:rPr>
        <w:t xml:space="preserve">Responsable: Heriberto Valencia (PRG) · Revisó: Lina Bastidas (EST) · Cuaderno: Misión 7, celdas 7.1 a 7.4</w:t>
      </w:r>
      <w:r/>
    </w:p>
    <w:p>
      <w:pPr>
        <w:pStyle w:val="719"/>
        <w:pBdr/>
        <w:spacing/>
        <w:ind/>
        <w:rPr/>
      </w:pPr>
      <w:r>
        <w:rPr>
          <w:b/>
        </w:rPr>
        <w:t xml:space="preserve">Tabla 12.</w:t>
      </w:r>
      <w:r>
        <w:rPr>
          <w:i/>
        </w:rPr>
        <w:t xml:space="preserve">  Afirmaciones evaluadas en la Pregunta 7</w:t>
      </w:r>
      <w:r/>
    </w:p>
    <w:tbl>
      <w:tblPr>
        <w:tblW w:w="5000" w:type="pct"/>
        <w:tblCellMar>
          <w:left w:w="60" w:type="dxa"/>
          <w:top w:w="32" w:type="dxa"/>
          <w:right w:w="60" w:type="dxa"/>
          <w:bottom w:w="32" w:type="dxa"/>
        </w:tblCellMar>
        <w:tblBorders>
          <w:top w:val="single" w:color="a8d08d" w:sz="4" w:space="0"/>
          <w:left w:val="single" w:color="a8d08d" w:sz="4" w:space="0"/>
          <w:bottom w:val="single" w:color="a8d08d" w:sz="4" w:space="0"/>
          <w:right w:val="single" w:color="a8d08d" w:sz="4" w:space="0"/>
          <w:insideH w:val="single" w:color="a8d08d" w:sz="4" w:space="0"/>
          <w:insideV w:val="single" w:color="a8d08d" w:sz="4" w:space="0"/>
        </w:tblBorders>
        <w:tblLayout w:type="fixed"/>
        <w:tblLook w:val="04A0" w:firstRow="1" w:lastRow="0" w:firstColumn="1" w:lastColumn="0" w:noHBand="0" w:noVBand="1"/>
      </w:tblPr>
      <w:tblGrid>
        <w:gridCol w:w="420"/>
        <w:gridCol w:w="2900"/>
        <w:gridCol w:w="1500"/>
        <w:gridCol w:w="4180"/>
      </w:tblGrid>
      <w:tr>
        <w:trPr>
          <w:cantSplit/>
          <w:tblHeader/>
        </w:trPr>
        <w:tc>
          <w:tcPr>
            <w:shd w:val="clear" w:color="auto" w:fill="e2efd9"/>
            <w:tcBorders/>
            <w:tcW w:w="420" w:type="dxa"/>
            <w:vAlign w:val="center"/>
          </w:tcPr>
          <w:p>
            <w:pPr>
              <w:pStyle w:val="720"/>
              <w:pBdr/>
              <w:spacing/>
              <w:ind/>
              <w:jc w:val="center"/>
              <w:rPr/>
            </w:pPr>
            <w:r>
              <w:rPr>
                <w:b/>
                <w:sz w:val="15"/>
              </w:rPr>
              <w:t xml:space="preserve">#</w:t>
            </w:r>
            <w:r/>
          </w:p>
        </w:tc>
        <w:tc>
          <w:tcPr>
            <w:shd w:val="clear" w:color="auto" w:fill="e2efd9"/>
            <w:tcBorders/>
            <w:tcW w:w="2900" w:type="dxa"/>
            <w:vAlign w:val="center"/>
          </w:tcPr>
          <w:p>
            <w:pPr>
              <w:pStyle w:val="720"/>
              <w:pBdr/>
              <w:spacing/>
              <w:ind/>
              <w:jc w:val="center"/>
              <w:rPr/>
            </w:pPr>
            <w:r>
              <w:rPr>
                <w:b/>
                <w:sz w:val="15"/>
              </w:rPr>
              <w:t xml:space="preserve">Afirmación</w:t>
            </w:r>
            <w:r/>
          </w:p>
        </w:tc>
        <w:tc>
          <w:tcPr>
            <w:shd w:val="clear" w:color="auto" w:fill="e2efd9"/>
            <w:tcBorders/>
            <w:tcW w:w="1500" w:type="dxa"/>
            <w:vAlign w:val="center"/>
          </w:tcPr>
          <w:p>
            <w:pPr>
              <w:pStyle w:val="720"/>
              <w:pBdr/>
              <w:spacing/>
              <w:ind/>
              <w:jc w:val="center"/>
              <w:rPr/>
            </w:pPr>
            <w:r>
              <w:rPr>
                <w:b/>
                <w:sz w:val="15"/>
              </w:rPr>
              <w:t xml:space="preserve">Veredicto</w:t>
            </w:r>
            <w:r/>
          </w:p>
        </w:tc>
        <w:tc>
          <w:tcPr>
            <w:shd w:val="clear" w:color="auto" w:fill="e2efd9"/>
            <w:tcBorders/>
            <w:tcW w:w="4180" w:type="dxa"/>
            <w:vAlign w:val="center"/>
          </w:tcPr>
          <w:p>
            <w:pPr>
              <w:pStyle w:val="720"/>
              <w:pBdr/>
              <w:spacing/>
              <w:ind/>
              <w:jc w:val="center"/>
              <w:rPr/>
            </w:pPr>
            <w:r>
              <w:rPr>
                <w:b/>
                <w:sz w:val="15"/>
              </w:rPr>
              <w:t xml:space="preserve">Evidencia del cuaderno</w:t>
            </w:r>
            <w:r/>
          </w:p>
        </w:tc>
      </w:tr>
      <w:tr>
        <w:trPr/>
        <w:tc>
          <w:tcPr>
            <w:tcBorders/>
            <w:tcW w:w="420" w:type="dxa"/>
            <w:vAlign w:val="center"/>
          </w:tcPr>
          <w:p>
            <w:pPr>
              <w:pStyle w:val="721"/>
              <w:pBdr/>
              <w:spacing/>
              <w:ind/>
              <w:jc w:val="center"/>
              <w:rPr/>
            </w:pPr>
            <w:r>
              <w:rPr>
                <w:sz w:val="15"/>
              </w:rPr>
              <w:t xml:space="preserve">1</w:t>
            </w:r>
            <w:r/>
          </w:p>
        </w:tc>
        <w:tc>
          <w:tcPr>
            <w:tcBorders/>
            <w:tcW w:w="2900" w:type="dxa"/>
            <w:vAlign w:val="center"/>
          </w:tcPr>
          <w:p>
            <w:pPr>
              <w:pStyle w:val="721"/>
              <w:pBdr/>
              <w:spacing/>
              <w:ind/>
              <w:jc w:val="left"/>
              <w:rPr/>
            </w:pPr>
            <w:r>
              <w:rPr>
                <w:sz w:val="15"/>
              </w:rPr>
              <w:t xml:space="preserve">Si una función da bien el resultado con 30 y con 90, está bien hecha.</w:t>
            </w:r>
            <w:r/>
          </w:p>
        </w:tc>
        <w:tc>
          <w:tcPr>
            <w:tcBorders/>
            <w:tcW w:w="1500" w:type="dxa"/>
            <w:vAlign w:val="center"/>
          </w:tcPr>
          <w:p>
            <w:pPr>
              <w:pStyle w:val="721"/>
              <w:pBdr/>
              <w:spacing/>
              <w:ind/>
              <w:jc w:val="center"/>
              <w:rPr/>
            </w:pPr>
            <w:r>
              <w:rPr>
                <w:sz w:val="15"/>
              </w:rPr>
              <w:t xml:space="preserve">No se sostiene</w:t>
            </w:r>
            <w:r/>
          </w:p>
        </w:tc>
        <w:tc>
          <w:tcPr>
            <w:tcBorders/>
            <w:tcW w:w="4180" w:type="dxa"/>
            <w:vAlign w:val="center"/>
          </w:tcPr>
          <w:p>
            <w:pPr>
              <w:pStyle w:val="721"/>
              <w:pBdr/>
              <w:spacing/>
              <w:ind/>
              <w:jc w:val="left"/>
              <w:rPr/>
            </w:pPr>
            <w:r>
              <w:rPr>
                <w:sz w:val="15"/>
              </w:rPr>
              <w:t xml:space="preserve">Celda 7.3: 39,9 → «crítico» · 40 → «vigilancia» · 79,9 → «vigilancia» · 80 → «seguro» · NaN → «sin dato» (✅ 7.2). Dos entradas correctas no cubren los bordes ni el dato faltante: con 30 y 90 la función también habría «funcionado».</w:t>
            </w:r>
            <w:r/>
          </w:p>
        </w:tc>
      </w:tr>
      <w:tr>
        <w:trPr/>
        <w:tc>
          <w:tcPr>
            <w:tcBorders/>
            <w:tcW w:w="420" w:type="dxa"/>
            <w:vAlign w:val="center"/>
          </w:tcPr>
          <w:p>
            <w:pPr>
              <w:pStyle w:val="721"/>
              <w:pBdr/>
              <w:spacing/>
              <w:ind/>
              <w:jc w:val="center"/>
              <w:rPr/>
            </w:pPr>
            <w:r>
              <w:rPr>
                <w:sz w:val="15"/>
              </w:rPr>
              <w:t xml:space="preserve">2</w:t>
            </w:r>
            <w:r/>
          </w:p>
        </w:tc>
        <w:tc>
          <w:tcPr>
            <w:tcBorders/>
            <w:tcW w:w="2900" w:type="dxa"/>
            <w:vAlign w:val="center"/>
          </w:tcPr>
          <w:p>
            <w:pPr>
              <w:pStyle w:val="721"/>
              <w:pBdr/>
              <w:spacing/>
              <w:ind/>
              <w:jc w:val="left"/>
              <w:rPr/>
            </w:pPr>
            <w:r>
              <w:rPr>
                <w:sz w:val="15"/>
              </w:rPr>
              <w:t xml:space="preserve">Clasificar como «seguro» un día sin dato es un error menor de programación.</w:t>
            </w:r>
            <w:r/>
          </w:p>
        </w:tc>
        <w:tc>
          <w:tcPr>
            <w:tcBorders/>
            <w:tcW w:w="1500" w:type="dxa"/>
            <w:vAlign w:val="center"/>
          </w:tcPr>
          <w:p>
            <w:pPr>
              <w:pStyle w:val="721"/>
              <w:pBdr/>
              <w:spacing/>
              <w:ind/>
              <w:jc w:val="center"/>
              <w:rPr/>
            </w:pPr>
            <w:r>
              <w:rPr>
                <w:sz w:val="15"/>
              </w:rPr>
              <w:t xml:space="preserve">No se sostiene</w:t>
            </w:r>
            <w:r/>
          </w:p>
        </w:tc>
        <w:tc>
          <w:tcPr>
            <w:tcBorders/>
            <w:tcW w:w="4180" w:type="dxa"/>
            <w:vAlign w:val="center"/>
          </w:tcPr>
          <w:p>
            <w:pPr>
              <w:pStyle w:val="721"/>
              <w:pBdr/>
              <w:spacing/>
              <w:ind/>
              <w:jc w:val="left"/>
              <w:rPr/>
            </w:pPr>
            <w:r>
              <w:rPr>
                <w:sz w:val="15"/>
              </w:rPr>
              <w:t xml:space="preserve">Celda 7.1: </w:t>
            </w:r>
            <w:r>
              <w:rPr>
                <w:rFonts w:ascii="Consolas" w:hAnsi="Consolas" w:cs="Consolas"/>
                <w:sz w:val="15"/>
              </w:rPr>
              <w:t xml:space="preserve">if pd.isna(pct): return "sin dato"</w:t>
            </w:r>
            <w:r>
              <w:rPr>
                <w:sz w:val="15"/>
              </w:rPr>
              <w:t xml:space="preserve"> como primera rama (✅ 7.3). No es menor: un día sin dato reportado como «seguro» es el mejor estado posible, y en compras eso es no comprar energía a tiempo.</w:t>
            </w:r>
            <w:r/>
          </w:p>
        </w:tc>
      </w:tr>
      <w:tr>
        <w:trPr/>
        <w:tc>
          <w:tcPr>
            <w:tcBorders/>
            <w:tcW w:w="420" w:type="dxa"/>
            <w:vAlign w:val="center"/>
          </w:tcPr>
          <w:p>
            <w:pPr>
              <w:pStyle w:val="721"/>
              <w:pBdr/>
              <w:spacing/>
              <w:ind/>
              <w:jc w:val="center"/>
              <w:rPr/>
            </w:pPr>
            <w:r>
              <w:rPr>
                <w:sz w:val="15"/>
              </w:rPr>
              <w:t xml:space="preserve">3</w:t>
            </w:r>
            <w:r/>
          </w:p>
        </w:tc>
        <w:tc>
          <w:tcPr>
            <w:tcBorders/>
            <w:tcW w:w="2900" w:type="dxa"/>
            <w:vAlign w:val="center"/>
          </w:tcPr>
          <w:p>
            <w:pPr>
              <w:pStyle w:val="721"/>
              <w:pBdr/>
              <w:spacing/>
              <w:ind/>
              <w:jc w:val="left"/>
              <w:rPr/>
            </w:pPr>
            <w:r>
              <w:rPr>
                <w:sz w:val="15"/>
              </w:rPr>
              <w:t xml:space="preserve">El orden de las condiciones if/elif no importa si cada condición está bien escrita.</w:t>
            </w:r>
            <w:r/>
          </w:p>
        </w:tc>
        <w:tc>
          <w:tcPr>
            <w:tcBorders/>
            <w:tcW w:w="1500" w:type="dxa"/>
            <w:vAlign w:val="center"/>
          </w:tcPr>
          <w:p>
            <w:pPr>
              <w:pStyle w:val="721"/>
              <w:pBdr/>
              <w:spacing/>
              <w:ind/>
              <w:jc w:val="center"/>
              <w:rPr/>
            </w:pPr>
            <w:r>
              <w:rPr>
                <w:sz w:val="15"/>
              </w:rPr>
              <w:t xml:space="preserve">No se sostiene</w:t>
            </w:r>
            <w:r/>
          </w:p>
        </w:tc>
        <w:tc>
          <w:tcPr>
            <w:tcBorders/>
            <w:tcW w:w="4180" w:type="dxa"/>
            <w:vAlign w:val="center"/>
          </w:tcPr>
          <w:p>
            <w:pPr>
              <w:pStyle w:val="721"/>
              <w:pBdr/>
              <w:spacing/>
              <w:ind/>
              <w:jc w:val="left"/>
              <w:rPr/>
            </w:pPr>
            <w:r>
              <w:rPr>
                <w:sz w:val="15"/>
              </w:rPr>
              <w:t xml:space="preserve">Celda 7.1: con </w:t>
            </w:r>
            <w:r>
              <w:rPr>
                <w:rFonts w:ascii="Consolas" w:hAnsi="Consolas" w:cs="Consolas"/>
                <w:sz w:val="15"/>
              </w:rPr>
              <w:t xml:space="preserve">if pct &lt; 80</w:t>
            </w:r>
            <w:r>
              <w:rPr>
                <w:sz w:val="15"/>
              </w:rPr>
              <w:t xml:space="preserve"> primero, 39,9 devolvía «vigilancia» y la rama «crítico» quedaba como código muerto (0 días críticos en 1.756). Con </w:t>
            </w:r>
            <w:r>
              <w:rPr>
                <w:rFonts w:ascii="Consolas" w:hAnsi="Consolas" w:cs="Consolas"/>
                <w:sz w:val="15"/>
              </w:rPr>
              <w:t xml:space="preserve">if pct &lt; 40</w:t>
            </w:r>
            <w:r>
              <w:rPr>
                <w:sz w:val="15"/>
              </w:rPr>
              <w:t xml:space="preserve"> primero, 39,9 da «crítico» y 40 da «vigilancia» (✅ 7.2).</w:t>
            </w:r>
            <w:r/>
          </w:p>
        </w:tc>
      </w:tr>
      <w:tr>
        <w:trPr/>
        <w:tc>
          <w:tcPr>
            <w:tcBorders/>
            <w:tcW w:w="420" w:type="dxa"/>
            <w:vAlign w:val="center"/>
          </w:tcPr>
          <w:p>
            <w:pPr>
              <w:pStyle w:val="721"/>
              <w:pBdr/>
              <w:spacing/>
              <w:ind/>
              <w:jc w:val="center"/>
              <w:rPr/>
            </w:pPr>
            <w:r>
              <w:rPr>
                <w:sz w:val="15"/>
              </w:rPr>
              <w:t xml:space="preserve">4</w:t>
            </w:r>
            <w:r/>
          </w:p>
        </w:tc>
        <w:tc>
          <w:tcPr>
            <w:tcBorders/>
            <w:tcW w:w="2900" w:type="dxa"/>
            <w:vAlign w:val="center"/>
          </w:tcPr>
          <w:p>
            <w:pPr>
              <w:pStyle w:val="721"/>
              <w:pBdr/>
              <w:spacing/>
              <w:ind/>
              <w:jc w:val="left"/>
              <w:rPr/>
            </w:pPr>
            <w:r>
              <w:rPr>
                <w:sz w:val="15"/>
              </w:rPr>
              <w:t xml:space="preserve">En 2024 hubo días en estado crítico según el semáforo corregido.</w:t>
            </w:r>
            <w:r/>
          </w:p>
        </w:tc>
        <w:tc>
          <w:tcPr>
            <w:tcBorders/>
            <w:tcW w:w="1500" w:type="dxa"/>
            <w:vAlign w:val="center"/>
          </w:tcPr>
          <w:p>
            <w:pPr>
              <w:pStyle w:val="721"/>
              <w:pBdr/>
              <w:spacing/>
              <w:ind/>
              <w:jc w:val="center"/>
              <w:rPr/>
            </w:pPr>
            <w:r>
              <w:rPr>
                <w:sz w:val="15"/>
              </w:rPr>
              <w:t xml:space="preserve">Se sostiene</w:t>
            </w:r>
            <w:r/>
          </w:p>
        </w:tc>
        <w:tc>
          <w:tcPr>
            <w:tcBorders/>
            <w:tcW w:w="4180" w:type="dxa"/>
            <w:vAlign w:val="center"/>
          </w:tcPr>
          <w:p>
            <w:pPr>
              <w:pStyle w:val="721"/>
              <w:pBdr/>
              <w:spacing/>
              <w:ind/>
              <w:jc w:val="left"/>
              <w:rPr/>
            </w:pPr>
            <w:r>
              <w:rPr>
                <w:sz w:val="15"/>
              </w:rPr>
              <w:t xml:space="preserve">Celda 7.3: 2024 con 78 días «crítico», 0 «seguro» y 288 «vigilancia»; los demás años, 0 días críticos. Celda 7.4: racha más larga bajo el 40 %: 78 días.</w:t>
            </w:r>
            <w:r/>
          </w:p>
        </w:tc>
      </w:tr>
    </w:tbl>
    <w:p>
      <w:pPr>
        <w:pStyle w:val="707"/>
        <w:pBdr/>
        <w:spacing w:after="0" w:before="0" w:line="120" w:lineRule="auto"/>
        <w:ind/>
        <w:rPr/>
      </w:pPr>
      <w:r/>
      <w:r/>
    </w:p>
    <w:p>
      <w:pPr>
        <w:pStyle w:val="716"/>
        <w:pBdr/>
        <w:spacing/>
        <w:ind/>
        <w:rPr/>
      </w:pPr>
      <w:r>
        <w:rPr>
          <w:sz w:val="19"/>
        </w:rPr>
        <w:t xml:space="preserve">Pregunta abierta. La respuesta debe contener: La tabla de pruebas de bordes (esperado, antes de corregir y después), por qué la tabla resumen tenía una sola fila y la regla general sobre los ciclos for.</w:t>
      </w:r>
      <w:r/>
    </w:p>
    <w:p>
      <w:pPr>
        <w:pStyle w:val="707"/>
        <w:pBdr/>
        <w:spacing/>
        <w:ind/>
        <w:rPr/>
      </w:pPr>
      <w:r>
        <w:rPr>
          <w:sz w:val="22"/>
        </w:rPr>
        <w:t xml:space="preserve">Las pruebas de bordes comprueban los valores justo por debajo y justo por encima de cada umbral, más el caso sin dato: son la forma barata de encontrar el error que dos entradas correctas no ven.</w:t>
      </w:r>
      <w:r/>
    </w:p>
    <w:p>
      <w:pPr>
        <w:pStyle w:val="719"/>
        <w:pBdr/>
        <w:spacing/>
        <w:ind/>
        <w:rPr/>
      </w:pPr>
      <w:r>
        <w:rPr>
          <w:b/>
        </w:rPr>
        <w:t xml:space="preserve">Tabla 13.</w:t>
      </w:r>
      <w:r>
        <w:rPr>
          <w:i/>
        </w:rPr>
        <w:t xml:space="preserve">  Pruebas de bordes del semáforo (celda 7.3)</w:t>
      </w:r>
      <w:r/>
    </w:p>
    <w:tbl>
      <w:tblPr>
        <w:tblW w:w="5000" w:type="pct"/>
        <w:tblCellMar>
          <w:left w:w="60" w:type="dxa"/>
          <w:top w:w="32" w:type="dxa"/>
          <w:right w:w="60" w:type="dxa"/>
          <w:bottom w:w="32" w:type="dxa"/>
        </w:tblCellMar>
        <w:tblBorders>
          <w:top w:val="single" w:color="a8d08d" w:sz="4" w:space="0"/>
          <w:left w:val="single" w:color="a8d08d" w:sz="4" w:space="0"/>
          <w:bottom w:val="single" w:color="a8d08d" w:sz="4" w:space="0"/>
          <w:right w:val="single" w:color="a8d08d" w:sz="4" w:space="0"/>
          <w:insideH w:val="single" w:color="a8d08d" w:sz="4" w:space="0"/>
          <w:insideV w:val="single" w:color="a8d08d" w:sz="4" w:space="0"/>
        </w:tblBorders>
        <w:tblLayout w:type="fixed"/>
        <w:tblLook w:val="04A0" w:firstRow="1" w:lastRow="0" w:firstColumn="1" w:lastColumn="0" w:noHBand="0" w:noVBand="1"/>
      </w:tblPr>
      <w:tblGrid>
        <w:gridCol w:w="1800"/>
        <w:gridCol w:w="2400"/>
        <w:gridCol w:w="2400"/>
        <w:gridCol w:w="2400"/>
      </w:tblGrid>
      <w:tr>
        <w:trPr>
          <w:cantSplit/>
          <w:tblHeader/>
        </w:trPr>
        <w:tc>
          <w:tcPr>
            <w:shd w:val="clear" w:color="auto" w:fill="e2efd9"/>
            <w:tcBorders/>
            <w:tcW w:w="1800" w:type="dxa"/>
            <w:vAlign w:val="center"/>
          </w:tcPr>
          <w:p>
            <w:pPr>
              <w:pStyle w:val="720"/>
              <w:pBdr/>
              <w:spacing/>
              <w:ind/>
              <w:jc w:val="center"/>
              <w:rPr/>
            </w:pPr>
            <w:r>
              <w:rPr>
                <w:b/>
                <w:sz w:val="18"/>
              </w:rPr>
              <w:t xml:space="preserve">Entrada</w:t>
            </w:r>
            <w:r/>
          </w:p>
        </w:tc>
        <w:tc>
          <w:tcPr>
            <w:shd w:val="clear" w:color="auto" w:fill="e2efd9"/>
            <w:tcBorders/>
            <w:tcW w:w="2400" w:type="dxa"/>
            <w:vAlign w:val="center"/>
          </w:tcPr>
          <w:p>
            <w:pPr>
              <w:pStyle w:val="720"/>
              <w:pBdr/>
              <w:spacing/>
              <w:ind/>
              <w:jc w:val="center"/>
              <w:rPr/>
            </w:pPr>
            <w:r>
              <w:rPr>
                <w:b/>
                <w:sz w:val="18"/>
              </w:rPr>
              <w:t xml:space="preserve">Resultado esperado</w:t>
            </w:r>
            <w:r/>
          </w:p>
        </w:tc>
        <w:tc>
          <w:tcPr>
            <w:shd w:val="clear" w:color="auto" w:fill="e2efd9"/>
            <w:tcBorders/>
            <w:tcW w:w="2400" w:type="dxa"/>
            <w:vAlign w:val="center"/>
          </w:tcPr>
          <w:p>
            <w:pPr>
              <w:pStyle w:val="720"/>
              <w:pBdr/>
              <w:spacing/>
              <w:ind/>
              <w:jc w:val="center"/>
              <w:rPr/>
            </w:pPr>
            <w:r>
              <w:rPr>
                <w:b/>
                <w:sz w:val="18"/>
              </w:rPr>
              <w:t xml:space="preserve">Antes de corregir</w:t>
            </w:r>
            <w:r/>
          </w:p>
        </w:tc>
        <w:tc>
          <w:tcPr>
            <w:shd w:val="clear" w:color="auto" w:fill="e2efd9"/>
            <w:tcBorders/>
            <w:tcW w:w="2400" w:type="dxa"/>
            <w:vAlign w:val="center"/>
          </w:tcPr>
          <w:p>
            <w:pPr>
              <w:pStyle w:val="720"/>
              <w:pBdr/>
              <w:spacing/>
              <w:ind/>
              <w:jc w:val="center"/>
              <w:rPr/>
            </w:pPr>
            <w:r>
              <w:rPr>
                <w:b/>
                <w:sz w:val="18"/>
              </w:rPr>
              <w:t xml:space="preserve">Después de corregir</w:t>
            </w:r>
            <w:r/>
          </w:p>
        </w:tc>
      </w:tr>
      <w:tr>
        <w:trPr/>
        <w:tc>
          <w:tcPr>
            <w:tcBorders/>
            <w:tcW w:w="1800" w:type="dxa"/>
            <w:vAlign w:val="center"/>
          </w:tcPr>
          <w:p>
            <w:pPr>
              <w:pStyle w:val="721"/>
              <w:pBdr/>
              <w:spacing/>
              <w:ind/>
              <w:jc w:val="center"/>
              <w:rPr/>
            </w:pPr>
            <w:r>
              <w:rPr>
                <w:sz w:val="18"/>
              </w:rPr>
              <w:t xml:space="preserve">39,9 %</w:t>
            </w:r>
            <w:r/>
          </w:p>
        </w:tc>
        <w:tc>
          <w:tcPr>
            <w:tcBorders/>
            <w:tcW w:w="2400" w:type="dxa"/>
            <w:vAlign w:val="center"/>
          </w:tcPr>
          <w:p>
            <w:pPr>
              <w:pStyle w:val="721"/>
              <w:pBdr/>
              <w:spacing/>
              <w:ind/>
              <w:jc w:val="center"/>
              <w:rPr/>
            </w:pPr>
            <w:r>
              <w:rPr>
                <w:sz w:val="18"/>
              </w:rPr>
              <w:t xml:space="preserve">crítico</w:t>
            </w:r>
            <w:r/>
          </w:p>
        </w:tc>
        <w:tc>
          <w:tcPr>
            <w:tcBorders/>
            <w:tcW w:w="2400" w:type="dxa"/>
            <w:vAlign w:val="center"/>
          </w:tcPr>
          <w:p>
            <w:pPr>
              <w:pStyle w:val="721"/>
              <w:pBdr/>
              <w:spacing/>
              <w:ind/>
              <w:jc w:val="center"/>
              <w:rPr/>
            </w:pPr>
            <w:r>
              <w:rPr>
                <w:sz w:val="18"/>
              </w:rPr>
              <w:t xml:space="preserve">vigilancia</w:t>
            </w:r>
            <w:r/>
          </w:p>
        </w:tc>
        <w:tc>
          <w:tcPr>
            <w:tcBorders/>
            <w:tcW w:w="2400" w:type="dxa"/>
            <w:vAlign w:val="center"/>
          </w:tcPr>
          <w:p>
            <w:pPr>
              <w:pStyle w:val="721"/>
              <w:pBdr/>
              <w:spacing/>
              <w:ind/>
              <w:jc w:val="center"/>
              <w:rPr/>
            </w:pPr>
            <w:r>
              <w:rPr>
                <w:sz w:val="18"/>
              </w:rPr>
              <w:t xml:space="preserve">crítico</w:t>
            </w:r>
            <w:r/>
          </w:p>
        </w:tc>
      </w:tr>
      <w:tr>
        <w:trPr/>
        <w:tc>
          <w:tcPr>
            <w:tcBorders/>
            <w:tcW w:w="1800" w:type="dxa"/>
            <w:vAlign w:val="center"/>
          </w:tcPr>
          <w:p>
            <w:pPr>
              <w:pStyle w:val="721"/>
              <w:pBdr/>
              <w:spacing/>
              <w:ind/>
              <w:jc w:val="center"/>
              <w:rPr/>
            </w:pPr>
            <w:r>
              <w:rPr>
                <w:sz w:val="18"/>
              </w:rPr>
              <w:t xml:space="preserve">40,0 %</w:t>
            </w:r>
            <w:r/>
          </w:p>
        </w:tc>
        <w:tc>
          <w:tcPr>
            <w:tcBorders/>
            <w:tcW w:w="2400" w:type="dxa"/>
            <w:vAlign w:val="center"/>
          </w:tcPr>
          <w:p>
            <w:pPr>
              <w:pStyle w:val="721"/>
              <w:pBdr/>
              <w:spacing/>
              <w:ind/>
              <w:jc w:val="center"/>
              <w:rPr/>
            </w:pPr>
            <w:r>
              <w:rPr>
                <w:sz w:val="18"/>
              </w:rPr>
              <w:t xml:space="preserve">vigilancia</w:t>
            </w:r>
            <w:r/>
          </w:p>
        </w:tc>
        <w:tc>
          <w:tcPr>
            <w:tcBorders/>
            <w:tcW w:w="2400" w:type="dxa"/>
            <w:vAlign w:val="center"/>
          </w:tcPr>
          <w:p>
            <w:pPr>
              <w:pStyle w:val="721"/>
              <w:pBdr/>
              <w:spacing/>
              <w:ind/>
              <w:jc w:val="center"/>
              <w:rPr/>
            </w:pPr>
            <w:r>
              <w:rPr>
                <w:sz w:val="18"/>
              </w:rPr>
              <w:t xml:space="preserve">vigilancia</w:t>
            </w:r>
            <w:r/>
          </w:p>
        </w:tc>
        <w:tc>
          <w:tcPr>
            <w:tcBorders/>
            <w:tcW w:w="2400" w:type="dxa"/>
            <w:vAlign w:val="center"/>
          </w:tcPr>
          <w:p>
            <w:pPr>
              <w:pStyle w:val="721"/>
              <w:pBdr/>
              <w:spacing/>
              <w:ind/>
              <w:jc w:val="center"/>
              <w:rPr/>
            </w:pPr>
            <w:r>
              <w:rPr>
                <w:sz w:val="18"/>
              </w:rPr>
              <w:t xml:space="preserve">vigilancia</w:t>
            </w:r>
            <w:r/>
          </w:p>
        </w:tc>
      </w:tr>
      <w:tr>
        <w:trPr/>
        <w:tc>
          <w:tcPr>
            <w:tcBorders/>
            <w:tcW w:w="1800" w:type="dxa"/>
            <w:vAlign w:val="center"/>
          </w:tcPr>
          <w:p>
            <w:pPr>
              <w:pStyle w:val="721"/>
              <w:pBdr/>
              <w:spacing/>
              <w:ind/>
              <w:jc w:val="center"/>
              <w:rPr/>
            </w:pPr>
            <w:r>
              <w:rPr>
                <w:sz w:val="18"/>
              </w:rPr>
              <w:t xml:space="preserve">79,9 %</w:t>
            </w:r>
            <w:r/>
          </w:p>
        </w:tc>
        <w:tc>
          <w:tcPr>
            <w:tcBorders/>
            <w:tcW w:w="2400" w:type="dxa"/>
            <w:vAlign w:val="center"/>
          </w:tcPr>
          <w:p>
            <w:pPr>
              <w:pStyle w:val="721"/>
              <w:pBdr/>
              <w:spacing/>
              <w:ind/>
              <w:jc w:val="center"/>
              <w:rPr/>
            </w:pPr>
            <w:r>
              <w:rPr>
                <w:sz w:val="18"/>
              </w:rPr>
              <w:t xml:space="preserve">vigilancia</w:t>
            </w:r>
            <w:r/>
          </w:p>
        </w:tc>
        <w:tc>
          <w:tcPr>
            <w:tcBorders/>
            <w:tcW w:w="2400" w:type="dxa"/>
            <w:vAlign w:val="center"/>
          </w:tcPr>
          <w:p>
            <w:pPr>
              <w:pStyle w:val="721"/>
              <w:pBdr/>
              <w:spacing/>
              <w:ind/>
              <w:jc w:val="center"/>
              <w:rPr/>
            </w:pPr>
            <w:r>
              <w:rPr>
                <w:sz w:val="18"/>
              </w:rPr>
              <w:t xml:space="preserve">vigilancia</w:t>
            </w:r>
            <w:r/>
          </w:p>
        </w:tc>
        <w:tc>
          <w:tcPr>
            <w:tcBorders/>
            <w:tcW w:w="2400" w:type="dxa"/>
            <w:vAlign w:val="center"/>
          </w:tcPr>
          <w:p>
            <w:pPr>
              <w:pStyle w:val="721"/>
              <w:pBdr/>
              <w:spacing/>
              <w:ind/>
              <w:jc w:val="center"/>
              <w:rPr/>
            </w:pPr>
            <w:r>
              <w:rPr>
                <w:sz w:val="18"/>
              </w:rPr>
              <w:t xml:space="preserve">vigilancia</w:t>
            </w:r>
            <w:r/>
          </w:p>
        </w:tc>
      </w:tr>
      <w:tr>
        <w:trPr/>
        <w:tc>
          <w:tcPr>
            <w:tcBorders/>
            <w:tcW w:w="1800" w:type="dxa"/>
            <w:vAlign w:val="center"/>
          </w:tcPr>
          <w:p>
            <w:pPr>
              <w:pStyle w:val="721"/>
              <w:pBdr/>
              <w:spacing/>
              <w:ind/>
              <w:jc w:val="center"/>
              <w:rPr/>
            </w:pPr>
            <w:r>
              <w:rPr>
                <w:sz w:val="18"/>
              </w:rPr>
              <w:t xml:space="preserve">80,0 %</w:t>
            </w:r>
            <w:r/>
          </w:p>
        </w:tc>
        <w:tc>
          <w:tcPr>
            <w:tcBorders/>
            <w:tcW w:w="2400" w:type="dxa"/>
            <w:vAlign w:val="center"/>
          </w:tcPr>
          <w:p>
            <w:pPr>
              <w:pStyle w:val="721"/>
              <w:pBdr/>
              <w:spacing/>
              <w:ind/>
              <w:jc w:val="center"/>
              <w:rPr/>
            </w:pPr>
            <w:r>
              <w:rPr>
                <w:sz w:val="18"/>
              </w:rPr>
              <w:t xml:space="preserve">seguro</w:t>
            </w:r>
            <w:r/>
          </w:p>
        </w:tc>
        <w:tc>
          <w:tcPr>
            <w:tcBorders/>
            <w:tcW w:w="2400" w:type="dxa"/>
            <w:vAlign w:val="center"/>
          </w:tcPr>
          <w:p>
            <w:pPr>
              <w:pStyle w:val="721"/>
              <w:pBdr/>
              <w:spacing/>
              <w:ind/>
              <w:jc w:val="center"/>
              <w:rPr/>
            </w:pPr>
            <w:r>
              <w:rPr>
                <w:sz w:val="18"/>
              </w:rPr>
              <w:t xml:space="preserve">seguro</w:t>
            </w:r>
            <w:r/>
          </w:p>
        </w:tc>
        <w:tc>
          <w:tcPr>
            <w:tcBorders/>
            <w:tcW w:w="2400" w:type="dxa"/>
            <w:vAlign w:val="center"/>
          </w:tcPr>
          <w:p>
            <w:pPr>
              <w:pStyle w:val="721"/>
              <w:pBdr/>
              <w:spacing/>
              <w:ind/>
              <w:jc w:val="center"/>
              <w:rPr/>
            </w:pPr>
            <w:r>
              <w:rPr>
                <w:sz w:val="18"/>
              </w:rPr>
              <w:t xml:space="preserve">seguro</w:t>
            </w:r>
            <w:r/>
          </w:p>
        </w:tc>
      </w:tr>
      <w:tr>
        <w:trPr/>
        <w:tc>
          <w:tcPr>
            <w:tcBorders/>
            <w:tcW w:w="1800" w:type="dxa"/>
            <w:vAlign w:val="center"/>
          </w:tcPr>
          <w:p>
            <w:pPr>
              <w:pStyle w:val="721"/>
              <w:pBdr/>
              <w:spacing/>
              <w:ind/>
              <w:jc w:val="center"/>
              <w:rPr/>
            </w:pPr>
            <w:r>
              <w:rPr>
                <w:sz w:val="18"/>
              </w:rPr>
              <w:t xml:space="preserve">NaN (sin dato)</w:t>
            </w:r>
            <w:r/>
          </w:p>
        </w:tc>
        <w:tc>
          <w:tcPr>
            <w:tcBorders/>
            <w:tcW w:w="2400" w:type="dxa"/>
            <w:vAlign w:val="center"/>
          </w:tcPr>
          <w:p>
            <w:pPr>
              <w:pStyle w:val="721"/>
              <w:pBdr/>
              <w:spacing/>
              <w:ind/>
              <w:jc w:val="center"/>
              <w:rPr/>
            </w:pPr>
            <w:r>
              <w:rPr>
                <w:sz w:val="18"/>
              </w:rPr>
              <w:t xml:space="preserve">sin dato</w:t>
            </w:r>
            <w:r/>
          </w:p>
        </w:tc>
        <w:tc>
          <w:tcPr>
            <w:tcBorders/>
            <w:tcW w:w="2400" w:type="dxa"/>
            <w:vAlign w:val="center"/>
          </w:tcPr>
          <w:p>
            <w:pPr>
              <w:pStyle w:val="721"/>
              <w:pBdr/>
              <w:spacing/>
              <w:ind/>
              <w:jc w:val="center"/>
              <w:rPr/>
            </w:pPr>
            <w:r>
              <w:rPr>
                <w:sz w:val="18"/>
              </w:rPr>
              <w:t xml:space="preserve">seguro</w:t>
            </w:r>
            <w:r/>
          </w:p>
        </w:tc>
        <w:tc>
          <w:tcPr>
            <w:tcBorders/>
            <w:tcW w:w="2400" w:type="dxa"/>
            <w:vAlign w:val="center"/>
          </w:tcPr>
          <w:p>
            <w:pPr>
              <w:pStyle w:val="721"/>
              <w:pBdr/>
              <w:spacing/>
              <w:ind/>
              <w:jc w:val="center"/>
              <w:rPr/>
            </w:pPr>
            <w:r>
              <w:rPr>
                <w:sz w:val="18"/>
              </w:rPr>
              <w:t xml:space="preserve">sin dato</w:t>
            </w:r>
            <w:r/>
          </w:p>
        </w:tc>
      </w:tr>
    </w:tbl>
    <w:p>
      <w:pPr>
        <w:pStyle w:val="707"/>
        <w:pBdr/>
        <w:spacing w:after="0" w:before="0" w:line="120" w:lineRule="auto"/>
        <w:ind/>
        <w:rPr/>
      </w:pPr>
      <w:r/>
      <w:r/>
    </w:p>
    <w:p>
      <w:pPr>
        <w:pStyle w:val="707"/>
        <w:pBdr/>
        <w:spacing/>
        <w:ind/>
        <w:rPr/>
      </w:pPr>
      <w:r>
        <w:rPr>
          <w:sz w:val="22"/>
        </w:rPr>
        <w:t xml:space="preserve">La tabla resumen tenía una sola fila porque el diccionario </w:t>
      </w:r>
      <w:r>
        <w:rPr>
          <w:rFonts w:ascii="Consolas" w:hAnsi="Consolas" w:cs="Consolas"/>
          <w:sz w:val="22"/>
        </w:rPr>
        <w:t xml:space="preserve">resumenes</w:t>
      </w:r>
      <w:r>
        <w:rPr>
          <w:sz w:val="22"/>
        </w:rPr>
        <w:t xml:space="preserve"> se reiniciaba dentro del ciclo </w:t>
      </w:r>
      <w:r>
        <w:rPr>
          <w:rFonts w:ascii="Consolas" w:hAnsi="Consolas" w:cs="Consolas"/>
          <w:sz w:val="22"/>
        </w:rPr>
        <w:t xml:space="preserve">for</w:t>
      </w:r>
      <w:r>
        <w:rPr>
          <w:sz w:val="22"/>
        </w:rPr>
        <w:t xml:space="preserve">: en cada vuelta se creaba un diccionario nuevo y, al terminar, solo quedaba el de la última serie (</w:t>
      </w:r>
      <w:r>
        <w:rPr>
          <w:rFonts w:ascii="Consolas" w:hAnsi="Consolas" w:cs="Consolas"/>
          <w:sz w:val="22"/>
        </w:rPr>
        <w:t xml:space="preserve">volumen_gwh</w:t>
      </w:r>
      <w:r>
        <w:rPr>
          <w:sz w:val="22"/>
        </w:rPr>
        <w:t xml:space="preserve">). La regla general sobre los ciclos </w:t>
      </w:r>
      <w:r>
        <w:rPr>
          <w:rFonts w:ascii="Consolas" w:hAnsi="Consolas" w:cs="Consolas"/>
          <w:sz w:val="22"/>
        </w:rPr>
        <w:t xml:space="preserve">for</w:t>
      </w:r>
      <w:r>
        <w:rPr>
          <w:sz w:val="22"/>
        </w:rPr>
        <w:t xml:space="preserve"> es que el contenedor que acumula resultados se crea antes del ciclo, no dentro: lo que se acumula es estado, y el estado pertenece al ciclo, no a cada vuelta. Por eso </w:t>
      </w:r>
      <w:r>
        <w:rPr>
          <w:rFonts w:ascii="Consolas" w:hAnsi="Consolas" w:cs="Consolas"/>
          <w:sz w:val="22"/>
        </w:rPr>
        <w:t xml:space="preserve">resumenes = {}</w:t>
      </w:r>
      <w:r>
        <w:rPr>
          <w:sz w:val="22"/>
        </w:rPr>
        <w:t xml:space="preserve"> va antes del </w:t>
      </w:r>
      <w:r>
        <w:rPr>
          <w:rFonts w:ascii="Consolas" w:hAnsi="Consolas" w:cs="Consolas"/>
          <w:sz w:val="22"/>
        </w:rPr>
        <w:t xml:space="preserve">for</w:t>
      </w:r>
      <w:r>
        <w:rPr>
          <w:sz w:val="22"/>
        </w:rPr>
        <w:t xml:space="preserve"> y dentro solo se hace </w:t>
      </w:r>
      <w:r>
        <w:rPr>
          <w:rFonts w:ascii="Consolas" w:hAnsi="Consolas" w:cs="Consolas"/>
          <w:sz w:val="22"/>
        </w:rPr>
        <w:t xml:space="preserve">resumenes[columna] = resumen_serie(...)</w:t>
      </w:r>
      <w:r>
        <w:rPr>
          <w:sz w:val="22"/>
        </w:rPr>
        <w:t xml:space="preserve">. Es la misma regla de </w:t>
      </w:r>
      <w:r>
        <w:rPr>
          <w:rFonts w:ascii="Consolas" w:hAnsi="Consolas" w:cs="Consolas"/>
          <w:sz w:val="22"/>
        </w:rPr>
        <w:t xml:space="preserve">por_anio = {}</w:t>
      </w:r>
      <w:r>
        <w:rPr>
          <w:sz w:val="22"/>
        </w:rPr>
        <w:t xml:space="preserve"> en la celda 6.2, y la verificación ✅ 7.4 comprueba que el ciclo guarde las cuatro series.</w:t>
      </w:r>
      <w:r/>
    </w:p>
    <w:p>
      <w:pPr>
        <w:pStyle w:val="708"/>
        <w:pBdr/>
        <w:spacing/>
        <w:ind/>
        <w:rPr/>
      </w:pPr>
      <w:r>
        <w:rPr>
          <w:sz w:val="28"/>
        </w:rPr>
        <w:t xml:space="preserve">9. Pregunta 8 · ¿Qué debe saber el comité directivo y cómo se construyó el análisis?</w:t>
      </w:r>
      <w:r/>
    </w:p>
    <w:p>
      <w:pPr>
        <w:pStyle w:val="715"/>
        <w:pBdr/>
        <w:spacing/>
        <w:ind/>
        <w:rPr/>
      </w:pPr>
      <w:r>
        <w:rPr>
          <w:sz w:val="19"/>
        </w:rPr>
        <w:t xml:space="preserve">Responsable: Juan Diego Rubio (COM) · Revisó: Liz Blanco (ING) · Cuaderno: Misión 8, celdas 8.1 y 8.2, bitácora y tablero de avance</w:t>
      </w:r>
      <w:r/>
    </w:p>
    <w:p>
      <w:pPr>
        <w:pStyle w:val="719"/>
        <w:pBdr/>
        <w:spacing/>
        <w:ind/>
        <w:rPr/>
      </w:pPr>
      <w:r>
        <w:rPr>
          <w:b/>
        </w:rPr>
        <w:t xml:space="preserve">Tabla 14.</w:t>
      </w:r>
      <w:r>
        <w:rPr>
          <w:i/>
        </w:rPr>
        <w:t xml:space="preserve">  Afirmaciones evaluadas en la Pregunta 8</w:t>
      </w:r>
      <w:r/>
    </w:p>
    <w:tbl>
      <w:tblPr>
        <w:tblW w:w="5000" w:type="pct"/>
        <w:tblCellMar>
          <w:left w:w="60" w:type="dxa"/>
          <w:top w:w="32" w:type="dxa"/>
          <w:right w:w="60" w:type="dxa"/>
          <w:bottom w:w="32" w:type="dxa"/>
        </w:tblCellMar>
        <w:tblBorders>
          <w:top w:val="single" w:color="a8d08d" w:sz="4" w:space="0"/>
          <w:left w:val="single" w:color="a8d08d" w:sz="4" w:space="0"/>
          <w:bottom w:val="single" w:color="a8d08d" w:sz="4" w:space="0"/>
          <w:right w:val="single" w:color="a8d08d" w:sz="4" w:space="0"/>
          <w:insideH w:val="single" w:color="a8d08d" w:sz="4" w:space="0"/>
          <w:insideV w:val="single" w:color="a8d08d" w:sz="4" w:space="0"/>
        </w:tblBorders>
        <w:tblLayout w:type="fixed"/>
        <w:tblLook w:val="04A0" w:firstRow="1" w:lastRow="0" w:firstColumn="1" w:lastColumn="0" w:noHBand="0" w:noVBand="1"/>
      </w:tblPr>
      <w:tblGrid>
        <w:gridCol w:w="420"/>
        <w:gridCol w:w="2900"/>
        <w:gridCol w:w="1500"/>
        <w:gridCol w:w="4180"/>
      </w:tblGrid>
      <w:tr>
        <w:trPr>
          <w:cantSplit/>
          <w:tblHeader/>
        </w:trPr>
        <w:tc>
          <w:tcPr>
            <w:shd w:val="clear" w:color="auto" w:fill="e2efd9"/>
            <w:tcBorders/>
            <w:tcW w:w="420" w:type="dxa"/>
            <w:vAlign w:val="center"/>
          </w:tcPr>
          <w:p>
            <w:pPr>
              <w:pStyle w:val="720"/>
              <w:pBdr/>
              <w:spacing/>
              <w:ind/>
              <w:jc w:val="center"/>
              <w:rPr/>
            </w:pPr>
            <w:r>
              <w:rPr>
                <w:b/>
                <w:sz w:val="15"/>
              </w:rPr>
              <w:t xml:space="preserve">#</w:t>
            </w:r>
            <w:r/>
          </w:p>
        </w:tc>
        <w:tc>
          <w:tcPr>
            <w:shd w:val="clear" w:color="auto" w:fill="e2efd9"/>
            <w:tcBorders/>
            <w:tcW w:w="2900" w:type="dxa"/>
            <w:vAlign w:val="center"/>
          </w:tcPr>
          <w:p>
            <w:pPr>
              <w:pStyle w:val="720"/>
              <w:pBdr/>
              <w:spacing/>
              <w:ind/>
              <w:jc w:val="center"/>
              <w:rPr/>
            </w:pPr>
            <w:r>
              <w:rPr>
                <w:b/>
                <w:sz w:val="15"/>
              </w:rPr>
              <w:t xml:space="preserve">Afirmación</w:t>
            </w:r>
            <w:r/>
          </w:p>
        </w:tc>
        <w:tc>
          <w:tcPr>
            <w:shd w:val="clear" w:color="auto" w:fill="e2efd9"/>
            <w:tcBorders/>
            <w:tcW w:w="1500" w:type="dxa"/>
            <w:vAlign w:val="center"/>
          </w:tcPr>
          <w:p>
            <w:pPr>
              <w:pStyle w:val="720"/>
              <w:pBdr/>
              <w:spacing/>
              <w:ind/>
              <w:jc w:val="center"/>
              <w:rPr/>
            </w:pPr>
            <w:r>
              <w:rPr>
                <w:b/>
                <w:sz w:val="15"/>
              </w:rPr>
              <w:t xml:space="preserve">Veredicto</w:t>
            </w:r>
            <w:r/>
          </w:p>
        </w:tc>
        <w:tc>
          <w:tcPr>
            <w:shd w:val="clear" w:color="auto" w:fill="e2efd9"/>
            <w:tcBorders/>
            <w:tcW w:w="4180" w:type="dxa"/>
            <w:vAlign w:val="center"/>
          </w:tcPr>
          <w:p>
            <w:pPr>
              <w:pStyle w:val="720"/>
              <w:pBdr/>
              <w:spacing/>
              <w:ind/>
              <w:jc w:val="center"/>
              <w:rPr/>
            </w:pPr>
            <w:r>
              <w:rPr>
                <w:b/>
                <w:sz w:val="15"/>
              </w:rPr>
              <w:t xml:space="preserve">Evidencia del cuaderno</w:t>
            </w:r>
            <w:r/>
          </w:p>
        </w:tc>
      </w:tr>
      <w:tr>
        <w:trPr/>
        <w:tc>
          <w:tcPr>
            <w:tcBorders/>
            <w:tcW w:w="420" w:type="dxa"/>
            <w:vAlign w:val="center"/>
          </w:tcPr>
          <w:p>
            <w:pPr>
              <w:pStyle w:val="721"/>
              <w:pBdr/>
              <w:spacing/>
              <w:ind/>
              <w:jc w:val="center"/>
              <w:rPr/>
            </w:pPr>
            <w:r>
              <w:rPr>
                <w:sz w:val="15"/>
              </w:rPr>
              <w:t xml:space="preserve">1</w:t>
            </w:r>
            <w:r/>
          </w:p>
        </w:tc>
        <w:tc>
          <w:tcPr>
            <w:tcBorders/>
            <w:tcW w:w="2900" w:type="dxa"/>
            <w:vAlign w:val="center"/>
          </w:tcPr>
          <w:p>
            <w:pPr>
              <w:pStyle w:val="721"/>
              <w:pBdr/>
              <w:spacing/>
              <w:ind/>
              <w:jc w:val="left"/>
              <w:rPr/>
            </w:pPr>
            <w:r>
              <w:rPr>
                <w:sz w:val="15"/>
              </w:rPr>
              <w:t xml:space="preserve">Si la IA explicó la función semaforo_embalse con seguridad, su explicación es correcta.</w:t>
            </w:r>
            <w:r/>
          </w:p>
        </w:tc>
        <w:tc>
          <w:tcPr>
            <w:tcBorders/>
            <w:tcW w:w="1500" w:type="dxa"/>
            <w:vAlign w:val="center"/>
          </w:tcPr>
          <w:p>
            <w:pPr>
              <w:pStyle w:val="721"/>
              <w:pBdr/>
              <w:spacing/>
              <w:ind/>
              <w:jc w:val="center"/>
              <w:rPr/>
            </w:pPr>
            <w:r>
              <w:rPr>
                <w:sz w:val="15"/>
              </w:rPr>
              <w:t xml:space="preserve">No se sostiene</w:t>
            </w:r>
            <w:r/>
          </w:p>
        </w:tc>
        <w:tc>
          <w:tcPr>
            <w:tcBorders/>
            <w:tcW w:w="4180" w:type="dxa"/>
            <w:vAlign w:val="center"/>
          </w:tcPr>
          <w:p>
            <w:pPr>
              <w:pStyle w:val="721"/>
              <w:pBdr/>
              <w:spacing/>
              <w:ind/>
              <w:jc w:val="left"/>
              <w:rPr/>
            </w:pPr>
            <w:r>
              <w:rPr>
                <w:sz w:val="15"/>
              </w:rPr>
              <w:t xml:space="preserve">Bitácora de IA, fila 6 (Anexo A): copiada tal como venía, la IA contestó que no clasificaba bien el 30 % —con </w:t>
            </w:r>
            <w:r>
              <w:rPr>
                <w:rFonts w:ascii="Consolas" w:hAnsi="Consolas" w:cs="Consolas"/>
                <w:sz w:val="15"/>
              </w:rPr>
              <w:t xml:space="preserve">if pct &lt; 80</w:t>
            </w:r>
            <w:r>
              <w:rPr>
                <w:sz w:val="15"/>
              </w:rPr>
              <w:t xml:space="preserve"> primero, 30 caía en «vigilancia»— y señaló que la rama «crítico» era inalcanzable y faltaba el caso «sin dato». Acertó.</w:t>
            </w:r>
            <w:r/>
          </w:p>
        </w:tc>
      </w:tr>
      <w:tr>
        <w:trPr/>
        <w:tc>
          <w:tcPr>
            <w:tcBorders/>
            <w:tcW w:w="420" w:type="dxa"/>
            <w:vAlign w:val="center"/>
          </w:tcPr>
          <w:p>
            <w:pPr>
              <w:pStyle w:val="721"/>
              <w:pBdr/>
              <w:spacing/>
              <w:ind/>
              <w:jc w:val="center"/>
              <w:rPr/>
            </w:pPr>
            <w:r>
              <w:rPr>
                <w:sz w:val="15"/>
              </w:rPr>
              <w:t xml:space="preserve">2</w:t>
            </w:r>
            <w:r/>
          </w:p>
        </w:tc>
        <w:tc>
          <w:tcPr>
            <w:tcBorders/>
            <w:tcW w:w="2900" w:type="dxa"/>
            <w:vAlign w:val="center"/>
          </w:tcPr>
          <w:p>
            <w:pPr>
              <w:pStyle w:val="721"/>
              <w:pBdr/>
              <w:spacing/>
              <w:ind/>
              <w:jc w:val="left"/>
              <w:rPr/>
            </w:pPr>
            <w:r>
              <w:rPr>
                <w:sz w:val="15"/>
              </w:rPr>
              <w:t xml:space="preserve">Pasar de 100 a 150 es un aumento del 33 %.</w:t>
            </w:r>
            <w:r/>
          </w:p>
        </w:tc>
        <w:tc>
          <w:tcPr>
            <w:tcBorders/>
            <w:tcW w:w="1500" w:type="dxa"/>
            <w:vAlign w:val="center"/>
          </w:tcPr>
          <w:p>
            <w:pPr>
              <w:pStyle w:val="721"/>
              <w:pBdr/>
              <w:spacing/>
              <w:ind/>
              <w:jc w:val="center"/>
              <w:rPr/>
            </w:pPr>
            <w:r>
              <w:rPr>
                <w:sz w:val="15"/>
              </w:rPr>
              <w:t xml:space="preserve">No se sostiene</w:t>
            </w:r>
            <w:r/>
          </w:p>
        </w:tc>
        <w:tc>
          <w:tcPr>
            <w:tcBorders/>
            <w:tcW w:w="4180" w:type="dxa"/>
            <w:vAlign w:val="center"/>
          </w:tcPr>
          <w:p>
            <w:pPr>
              <w:pStyle w:val="721"/>
              <w:pBdr/>
              <w:spacing/>
              <w:ind/>
              <w:jc w:val="left"/>
              <w:rPr/>
            </w:pPr>
            <w:r>
              <w:rPr>
                <w:sz w:val="15"/>
              </w:rPr>
              <w:t xml:space="preserve">Celda 8.1: la función corregida devuelve 50,0 % para 100 → 150 (✅ 8.1). El denominador es el valor anterior: (150 − 100) / 100 = 50 %.</w:t>
            </w:r>
            <w:r/>
          </w:p>
        </w:tc>
      </w:tr>
      <w:tr>
        <w:trPr/>
        <w:tc>
          <w:tcPr>
            <w:tcBorders/>
            <w:tcW w:w="420" w:type="dxa"/>
            <w:vAlign w:val="center"/>
          </w:tcPr>
          <w:p>
            <w:pPr>
              <w:pStyle w:val="721"/>
              <w:pBdr/>
              <w:spacing/>
              <w:ind/>
              <w:jc w:val="center"/>
              <w:rPr/>
            </w:pPr>
            <w:r>
              <w:rPr>
                <w:sz w:val="15"/>
              </w:rPr>
              <w:t xml:space="preserve">3</w:t>
            </w:r>
            <w:r/>
          </w:p>
        </w:tc>
        <w:tc>
          <w:tcPr>
            <w:tcBorders/>
            <w:tcW w:w="2900" w:type="dxa"/>
            <w:vAlign w:val="center"/>
          </w:tcPr>
          <w:p>
            <w:pPr>
              <w:pStyle w:val="721"/>
              <w:pBdr/>
              <w:spacing/>
              <w:ind/>
              <w:jc w:val="left"/>
              <w:rPr/>
            </w:pPr>
            <w:r>
              <w:rPr>
                <w:sz w:val="15"/>
              </w:rPr>
              <w:t xml:space="preserve">La ficha de cifras basta para decidir si la empresa debe firmar contratos de largo plazo.</w:t>
            </w:r>
            <w:r/>
          </w:p>
        </w:tc>
        <w:tc>
          <w:tcPr>
            <w:tcBorders/>
            <w:tcW w:w="1500" w:type="dxa"/>
            <w:vAlign w:val="center"/>
          </w:tcPr>
          <w:p>
            <w:pPr>
              <w:pStyle w:val="721"/>
              <w:pBdr/>
              <w:spacing/>
              <w:ind/>
              <w:jc w:val="center"/>
              <w:rPr/>
            </w:pPr>
            <w:r>
              <w:rPr>
                <w:sz w:val="15"/>
              </w:rPr>
              <w:t xml:space="preserve">Los datos no alcanzan</w:t>
            </w:r>
            <w:r/>
          </w:p>
        </w:tc>
        <w:tc>
          <w:tcPr>
            <w:tcBorders/>
            <w:tcW w:w="4180" w:type="dxa"/>
            <w:vAlign w:val="center"/>
          </w:tcPr>
          <w:p>
            <w:pPr>
              <w:pStyle w:val="721"/>
              <w:pBdr/>
              <w:spacing/>
              <w:ind/>
              <w:jc w:val="left"/>
              <w:rPr/>
            </w:pPr>
            <w:r>
              <w:rPr>
                <w:sz w:val="15"/>
              </w:rPr>
              <w:t xml:space="preserve">Celda 8.2: la ficha tiene siete cifras de diagnóstico (embalses, mínimo de 2024, día más caro, precio, patrón semanal, variación interanual y correlación). Sin precios de contratos ni costos de cobertura: no sostiene sola una decisión de contratación.</w:t>
            </w:r>
            <w:r/>
          </w:p>
        </w:tc>
      </w:tr>
      <w:tr>
        <w:trPr/>
        <w:tc>
          <w:tcPr>
            <w:tcBorders/>
            <w:tcW w:w="420" w:type="dxa"/>
            <w:vAlign w:val="center"/>
          </w:tcPr>
          <w:p>
            <w:pPr>
              <w:pStyle w:val="721"/>
              <w:pBdr/>
              <w:spacing/>
              <w:ind/>
              <w:jc w:val="center"/>
              <w:rPr/>
            </w:pPr>
            <w:r>
              <w:rPr>
                <w:sz w:val="15"/>
              </w:rPr>
              <w:t xml:space="preserve">4</w:t>
            </w:r>
            <w:r/>
          </w:p>
        </w:tc>
        <w:tc>
          <w:tcPr>
            <w:tcBorders/>
            <w:tcW w:w="2900" w:type="dxa"/>
            <w:vAlign w:val="center"/>
          </w:tcPr>
          <w:p>
            <w:pPr>
              <w:pStyle w:val="721"/>
              <w:pBdr/>
              <w:spacing/>
              <w:ind/>
              <w:jc w:val="left"/>
              <w:rPr/>
            </w:pPr>
            <w:r>
              <w:rPr>
                <w:sz w:val="15"/>
              </w:rPr>
              <w:t xml:space="preserve">Si todas las celdas de verificación están en verde, el cuaderno está listo para entregar.</w:t>
            </w:r>
            <w:r/>
          </w:p>
        </w:tc>
        <w:tc>
          <w:tcPr>
            <w:tcBorders/>
            <w:tcW w:w="1500" w:type="dxa"/>
            <w:vAlign w:val="center"/>
          </w:tcPr>
          <w:p>
            <w:pPr>
              <w:pStyle w:val="721"/>
              <w:pBdr/>
              <w:spacing/>
              <w:ind/>
              <w:jc w:val="center"/>
              <w:rPr/>
            </w:pPr>
            <w:r>
              <w:rPr>
                <w:sz w:val="15"/>
              </w:rPr>
              <w:t xml:space="preserve">No se sostiene</w:t>
            </w:r>
            <w:r/>
          </w:p>
        </w:tc>
        <w:tc>
          <w:tcPr>
            <w:tcBorders/>
            <w:tcW w:w="4180" w:type="dxa"/>
            <w:vAlign w:val="center"/>
          </w:tcPr>
          <w:p>
            <w:pPr>
              <w:pStyle w:val="721"/>
              <w:pBdr/>
              <w:spacing/>
              <w:ind/>
              <w:jc w:val="left"/>
              <w:rPr/>
            </w:pPr>
            <w:r>
              <w:rPr>
                <w:sz w:val="15"/>
              </w:rPr>
              <w:t xml:space="preserve">Celda 50: 26 de 26 v</w:t>
            </w:r>
            <w:r>
              <w:rPr>
                <w:sz w:val="15"/>
              </w:rPr>
              <w:t xml:space="preserve">erificaciones en verde, y aun así la 8.1 tenía la fórmula de variación mal (el error más silencioso) y la 8.2 imprimía la fecha equivocada. El verde acredita las pruebas del curso; lo que acredita el resultado es la revisión manual y las pruebas 3.A a 3.C.</w:t>
            </w:r>
            <w:r/>
          </w:p>
        </w:tc>
      </w:tr>
    </w:tbl>
    <w:p>
      <w:pPr>
        <w:pStyle w:val="707"/>
        <w:pBdr/>
        <w:spacing w:after="0" w:before="0" w:line="120" w:lineRule="auto"/>
        <w:ind/>
        <w:rPr/>
      </w:pPr>
      <w:r/>
      <w:r/>
    </w:p>
    <w:p>
      <w:pPr>
        <w:pStyle w:val="716"/>
        <w:pBdr/>
        <w:spacing/>
        <w:ind/>
        <w:rPr/>
      </w:pPr>
      <w:r>
        <w:rPr>
          <w:sz w:val="19"/>
        </w:rPr>
        <w:t xml:space="preserve">Pregunta abierta. La respuesta debe contener: la conclusión 3-2-1 (máximo 150 palabras) y el resultado del experimento con la IA.</w:t>
      </w:r>
      <w:r/>
    </w:p>
    <w:p>
      <w:pPr>
        <w:pStyle w:val="707"/>
        <w:pBdr/>
        <w:spacing/>
        <w:ind/>
        <w:rPr/>
      </w:pPr>
      <w:r>
        <w:rPr>
          <w:sz w:val="22"/>
        </w:rPr>
        <w:t xml:space="preserve">Cifras. Embalses en 76,6 % al 22-10-2026, 3,4 puntos bajo la meta del 80 %; el mínimo de 2024 fue 28,6 % el 18-04-2024. El día más caro fue el 30-09-2024, con COP 2.499/kWh. La demanda del último mes completo cre</w:t>
      </w:r>
      <w:r>
        <w:rPr>
          <w:sz w:val="22"/>
        </w:rPr>
        <w:t xml:space="preserve">ció 5,87 % frente a septiembre de 2025. Implicaciones. Una: el margen de los embalses se cuenta en días —en 2024 fueron 78 seguidos bajo el 40 %—, así que la compra debe poder activarse rápido. Dos: el precio se mueve en un rango amplio (media 434 COP/kWh,</w:t>
      </w:r>
      <w:r>
        <w:rPr>
          <w:sz w:val="22"/>
        </w:rPr>
        <w:t xml:space="preserve"> picos de 2.499): la exposición diaria es riesgo de costo real. Recomendación. No comprometer contratos de largo plazo hoy: fijar una cobertura mínima que sobreviva a una racha seca y revisar el gatillo con un semáforo de nivel, tendencia y estacionalidad.</w:t>
      </w:r>
      <w:r/>
    </w:p>
    <w:p>
      <w:pPr>
        <w:pStyle w:val="707"/>
        <w:pBdr/>
        <w:spacing/>
        <w:ind/>
        <w:rPr/>
      </w:pPr>
      <w:r>
        <w:rPr>
          <w:sz w:val="22"/>
        </w:rPr>
        <w:t xml:space="preserve">Experimento con la IA (fila 6 de la bitácora, Anexo A). Copiamos </w:t>
      </w:r>
      <w:r>
        <w:rPr>
          <w:rFonts w:ascii="Consolas" w:hAnsi="Consolas" w:cs="Consolas"/>
          <w:sz w:val="22"/>
        </w:rPr>
        <w:t xml:space="preserve">semaforo_embalse</w:t>
      </w:r>
      <w:r>
        <w:rPr>
          <w:sz w:val="22"/>
        </w:rPr>
        <w:t xml:space="preserve"> tal como venía en el kit, con sus errores, y le preguntamos a la IA si clasificaba bien un nivel del 30 %. Contestó que no, y acertó: con </w:t>
      </w:r>
      <w:r>
        <w:rPr>
          <w:rFonts w:ascii="Consolas" w:hAnsi="Consolas" w:cs="Consolas"/>
          <w:sz w:val="22"/>
        </w:rPr>
        <w:t xml:space="preserve">if pct &lt; 80</w:t>
      </w:r>
      <w:r>
        <w:rPr>
          <w:sz w:val="22"/>
        </w:rPr>
        <w:t xml:space="preserve"> primero, 30 cae en «vigilancia» cuando debería ser «crítico»; además señaló que la rama </w:t>
      </w:r>
      <w:r>
        <w:rPr>
          <w:rFonts w:ascii="Consolas" w:hAnsi="Consolas" w:cs="Consolas"/>
          <w:sz w:val="22"/>
        </w:rPr>
        <w:t xml:space="preserve">elif pct &lt; 40</w:t>
      </w:r>
      <w:r>
        <w:rPr>
          <w:sz w:val="22"/>
        </w:rPr>
        <w:t xml:space="preserve"> era inalcanza</w:t>
      </w:r>
      <w:r>
        <w:rPr>
          <w:sz w:val="22"/>
        </w:rPr>
        <w:t xml:space="preserve">ble y faltaba el caso «sin dato». Lo comprobamos ejecutando la función original y lo corregimos en la celda 7.1. La lección: la IA sirvió como revisora independiente —encontró el fallo antes que nosotros—, pero no puede ser fuente: en la fila 5 afirmó que </w:t>
      </w:r>
      <w:r>
        <w:rPr>
          <w:rFonts w:ascii="Consolas" w:hAnsi="Consolas" w:cs="Consolas"/>
          <w:sz w:val="22"/>
        </w:rPr>
        <w:t xml:space="preserve">PrecBolsNaci</w:t>
      </w:r>
      <w:r>
        <w:rPr>
          <w:sz w:val="22"/>
        </w:rPr>
        <w:t xml:space="preserve"> venía en USD/MWh y era COP/kWh. Regla de la bitácora: la IA propone y revisa; la cifra la confirma la celda de verificación.</w:t>
      </w:r>
      <w:r/>
    </w:p>
    <w:p>
      <w:pPr>
        <w:pBdr/>
        <w:spacing/>
        <w:ind/>
        <w:rPr/>
      </w:pPr>
      <w:r>
        <w:br w:type="page" w:clear="all"/>
      </w:r>
      <w:r/>
    </w:p>
    <w:p>
      <w:pPr>
        <w:pStyle w:val="708"/>
        <w:pBdr/>
        <w:spacing/>
        <w:ind/>
        <w:rPr/>
      </w:pPr>
      <w:r>
        <w:rPr>
          <w:sz w:val="28"/>
        </w:rPr>
        <w:t xml:space="preserve">Anexo A. Bitácora de IA generativa</w:t>
      </w:r>
      <w:r/>
    </w:p>
    <w:p>
      <w:pPr>
        <w:pStyle w:val="707"/>
        <w:pBdr/>
        <w:spacing/>
        <w:ind/>
        <w:rPr/>
      </w:pPr>
      <w:r>
        <w:rPr>
          <w:sz w:val="22"/>
        </w:rPr>
        <w:t xml:space="preserve">Una fila por prompt hecho a un asistente de IA. La tabla la consolida el rol COM; la comprobó cada integrante en el momento de usarla y la revisa el equipo completo.</w:t>
      </w:r>
      <w:r/>
    </w:p>
    <w:p>
      <w:pPr>
        <w:pStyle w:val="719"/>
        <w:pBdr/>
        <w:spacing/>
        <w:ind/>
        <w:rPr/>
      </w:pPr>
      <w:r>
        <w:rPr>
          <w:b/>
        </w:rPr>
        <w:t xml:space="preserve">Tabla A1.</w:t>
      </w:r>
      <w:r>
        <w:rPr>
          <w:i/>
        </w:rPr>
        <w:t xml:space="preserve">  Bitácora de IA generativa</w:t>
      </w:r>
      <w:r/>
    </w:p>
    <w:tbl>
      <w:tblPr>
        <w:tblW w:w="5000" w:type="pct"/>
        <w:tblCellMar>
          <w:left w:w="60" w:type="dxa"/>
          <w:top w:w="32" w:type="dxa"/>
          <w:right w:w="60" w:type="dxa"/>
          <w:bottom w:w="32" w:type="dxa"/>
        </w:tblCellMar>
        <w:tblBorders>
          <w:top w:val="single" w:color="a8d08d" w:sz="4" w:space="0"/>
          <w:left w:val="single" w:color="a8d08d" w:sz="4" w:space="0"/>
          <w:bottom w:val="single" w:color="a8d08d" w:sz="4" w:space="0"/>
          <w:right w:val="single" w:color="a8d08d" w:sz="4" w:space="0"/>
          <w:insideH w:val="single" w:color="a8d08d" w:sz="4" w:space="0"/>
          <w:insideV w:val="single" w:color="a8d08d" w:sz="4" w:space="0"/>
        </w:tblBorders>
        <w:tblLayout w:type="fixed"/>
        <w:tblLook w:val="04A0" w:firstRow="1" w:lastRow="0" w:firstColumn="1" w:lastColumn="0" w:noHBand="0" w:noVBand="1"/>
      </w:tblPr>
      <w:tblGrid>
        <w:gridCol w:w="320"/>
        <w:gridCol w:w="850"/>
        <w:gridCol w:w="1150"/>
        <w:gridCol w:w="1200"/>
        <w:gridCol w:w="2350"/>
        <w:gridCol w:w="1550"/>
        <w:gridCol w:w="1580"/>
      </w:tblGrid>
      <w:tr>
        <w:trPr>
          <w:cantSplit/>
          <w:tblHeader/>
        </w:trPr>
        <w:tc>
          <w:tcPr>
            <w:shd w:val="clear" w:color="auto" w:fill="e2efd9"/>
            <w:tcBorders/>
            <w:tcW w:w="320" w:type="dxa"/>
            <w:vAlign w:val="center"/>
          </w:tcPr>
          <w:p>
            <w:pPr>
              <w:pStyle w:val="720"/>
              <w:pBdr/>
              <w:spacing/>
              <w:ind/>
              <w:jc w:val="center"/>
              <w:rPr/>
            </w:pPr>
            <w:r>
              <w:rPr>
                <w:b/>
                <w:sz w:val="16"/>
              </w:rPr>
              <w:t xml:space="preserve">#</w:t>
            </w:r>
            <w:r/>
          </w:p>
        </w:tc>
        <w:tc>
          <w:tcPr>
            <w:shd w:val="clear" w:color="auto" w:fill="e2efd9"/>
            <w:tcBorders/>
            <w:tcW w:w="850" w:type="dxa"/>
            <w:vAlign w:val="center"/>
          </w:tcPr>
          <w:p>
            <w:pPr>
              <w:pStyle w:val="720"/>
              <w:pBdr/>
              <w:spacing/>
              <w:ind/>
              <w:jc w:val="center"/>
              <w:rPr/>
            </w:pPr>
            <w:r>
              <w:rPr>
                <w:b/>
                <w:sz w:val="16"/>
              </w:rPr>
              <w:t xml:space="preserve">Misión</w:t>
            </w:r>
            <w:r/>
          </w:p>
        </w:tc>
        <w:tc>
          <w:tcPr>
            <w:shd w:val="clear" w:color="auto" w:fill="e2efd9"/>
            <w:tcBorders/>
            <w:tcW w:w="1150" w:type="dxa"/>
            <w:vAlign w:val="center"/>
          </w:tcPr>
          <w:p>
            <w:pPr>
              <w:pStyle w:val="720"/>
              <w:pBdr/>
              <w:spacing/>
              <w:ind/>
              <w:jc w:val="center"/>
              <w:rPr/>
            </w:pPr>
            <w:r>
              <w:rPr>
                <w:b/>
                <w:sz w:val="16"/>
              </w:rPr>
              <w:t xml:space="preserve">Integrante y rol</w:t>
            </w:r>
            <w:r/>
          </w:p>
        </w:tc>
        <w:tc>
          <w:tcPr>
            <w:shd w:val="clear" w:color="auto" w:fill="e2efd9"/>
            <w:tcBorders/>
            <w:tcW w:w="1200" w:type="dxa"/>
            <w:vAlign w:val="center"/>
          </w:tcPr>
          <w:p>
            <w:pPr>
              <w:pStyle w:val="720"/>
              <w:pBdr/>
              <w:spacing/>
              <w:ind/>
              <w:jc w:val="center"/>
              <w:rPr/>
            </w:pPr>
            <w:r>
              <w:rPr>
                <w:b/>
                <w:sz w:val="16"/>
              </w:rPr>
              <w:t xml:space="preserve">Herramienta y modelo</w:t>
            </w:r>
            <w:r/>
          </w:p>
        </w:tc>
        <w:tc>
          <w:tcPr>
            <w:shd w:val="clear" w:color="auto" w:fill="e2efd9"/>
            <w:tcBorders/>
            <w:tcW w:w="2350" w:type="dxa"/>
            <w:vAlign w:val="center"/>
          </w:tcPr>
          <w:p>
            <w:pPr>
              <w:pStyle w:val="720"/>
              <w:pBdr/>
              <w:spacing/>
              <w:ind/>
              <w:jc w:val="center"/>
              <w:rPr/>
            </w:pPr>
            <w:r>
              <w:rPr>
                <w:b/>
                <w:sz w:val="16"/>
              </w:rPr>
              <w:t xml:space="preserve">Prompt (resumen)</w:t>
            </w:r>
            <w:r/>
          </w:p>
        </w:tc>
        <w:tc>
          <w:tcPr>
            <w:shd w:val="clear" w:color="auto" w:fill="e2efd9"/>
            <w:tcBorders/>
            <w:tcW w:w="1550" w:type="dxa"/>
            <w:vAlign w:val="center"/>
          </w:tcPr>
          <w:p>
            <w:pPr>
              <w:pStyle w:val="720"/>
              <w:pBdr/>
              <w:spacing/>
              <w:ind/>
              <w:jc w:val="center"/>
              <w:rPr/>
            </w:pPr>
            <w:r>
              <w:rPr>
                <w:b/>
                <w:sz w:val="16"/>
              </w:rPr>
              <w:t xml:space="preserve">¿Qué respondió? ¿Acertó?</w:t>
            </w:r>
            <w:r/>
          </w:p>
        </w:tc>
        <w:tc>
          <w:tcPr>
            <w:shd w:val="clear" w:color="auto" w:fill="e2efd9"/>
            <w:tcBorders/>
            <w:tcW w:w="1580" w:type="dxa"/>
            <w:vAlign w:val="center"/>
          </w:tcPr>
          <w:p>
            <w:pPr>
              <w:pStyle w:val="720"/>
              <w:pBdr/>
              <w:spacing/>
              <w:ind/>
              <w:jc w:val="center"/>
              <w:rPr/>
            </w:pPr>
            <w:r>
              <w:rPr>
                <w:b/>
                <w:sz w:val="16"/>
              </w:rPr>
              <w:t xml:space="preserve">Qué verificamos o corregimos</w:t>
            </w:r>
            <w:r/>
          </w:p>
        </w:tc>
      </w:tr>
      <w:tr>
        <w:trPr/>
        <w:tc>
          <w:tcPr>
            <w:tcBorders/>
            <w:tcW w:w="320" w:type="dxa"/>
            <w:vAlign w:val="center"/>
          </w:tcPr>
          <w:p>
            <w:pPr>
              <w:pStyle w:val="721"/>
              <w:pBdr/>
              <w:spacing/>
              <w:ind/>
              <w:jc w:val="center"/>
              <w:rPr/>
            </w:pPr>
            <w:r>
              <w:rPr>
                <w:sz w:val="16"/>
              </w:rPr>
              <w:t xml:space="preserve">1</w:t>
            </w:r>
            <w:r/>
          </w:p>
        </w:tc>
        <w:tc>
          <w:tcPr>
            <w:tcBorders/>
            <w:tcW w:w="850" w:type="dxa"/>
            <w:vAlign w:val="center"/>
          </w:tcPr>
          <w:p>
            <w:pPr>
              <w:pStyle w:val="721"/>
              <w:pBdr/>
              <w:spacing/>
              <w:ind/>
              <w:jc w:val="center"/>
              <w:rPr/>
            </w:pPr>
            <w:r>
              <w:rPr>
                <w:sz w:val="16"/>
              </w:rPr>
              <w:t xml:space="preserve">M0 · Entorno y datos</w:t>
            </w:r>
            <w:r/>
          </w:p>
        </w:tc>
        <w:tc>
          <w:tcPr>
            <w:tcBorders/>
            <w:tcW w:w="1150" w:type="dxa"/>
            <w:vAlign w:val="center"/>
          </w:tcPr>
          <w:p>
            <w:pPr>
              <w:pStyle w:val="721"/>
              <w:pBdr/>
              <w:spacing/>
              <w:ind/>
              <w:jc w:val="left"/>
              <w:rPr/>
            </w:pPr>
            <w:r>
              <w:rPr>
                <w:sz w:val="16"/>
              </w:rPr>
              <w:t xml:space="preserve">Todo el equipo (Heriberto Valencia, ING)</w:t>
            </w:r>
            <w:r/>
          </w:p>
        </w:tc>
        <w:tc>
          <w:tcPr>
            <w:tcBorders/>
            <w:tcW w:w="1200" w:type="dxa"/>
            <w:vAlign w:val="center"/>
          </w:tcPr>
          <w:p>
            <w:pPr>
              <w:pStyle w:val="721"/>
              <w:pBdr/>
              <w:spacing/>
              <w:ind/>
              <w:jc w:val="left"/>
              <w:rPr/>
            </w:pPr>
            <w:r>
              <w:rPr>
                <w:sz w:val="16"/>
              </w:rPr>
              <w:t xml:space="preserve">Copilot, Gemini · VSCode y PyCharm</w:t>
            </w:r>
            <w:r/>
          </w:p>
        </w:tc>
        <w:tc>
          <w:tcPr>
            <w:tcBorders/>
            <w:tcW w:w="2350" w:type="dxa"/>
            <w:vAlign w:val="center"/>
          </w:tcPr>
          <w:p>
            <w:pPr>
              <w:pStyle w:val="721"/>
              <w:pBdr/>
              <w:spacing/>
              <w:ind/>
              <w:jc w:val="left"/>
              <w:rPr/>
            </w:pPr>
            <w:r>
              <w:rPr>
                <w:sz w:val="16"/>
              </w:rPr>
              <w:t xml:space="preserve">«Estoy aprendiendo Python. Explícame en lenguaje sencillo qué significa este mensaje de error y en qué línea está el problema. No me des el código corregido; dame una pista para que yo lo corrija» (celda 11)</w:t>
            </w:r>
            <w:r/>
          </w:p>
        </w:tc>
        <w:tc>
          <w:tcPr>
            <w:tcBorders/>
            <w:tcW w:w="1550" w:type="dxa"/>
            <w:vAlign w:val="center"/>
          </w:tcPr>
          <w:p>
            <w:pPr>
              <w:pStyle w:val="721"/>
              <w:pBdr/>
              <w:spacing/>
              <w:ind/>
              <w:jc w:val="left"/>
              <w:rPr/>
            </w:pPr>
            <w:r>
              <w:rPr>
                <w:sz w:val="16"/>
              </w:rPr>
              <w:t xml:space="preserve">Dio la pista del error sin regalar el código (era lo que pedía el prompt) y el diagnóstico coincidió con el error real</w:t>
            </w:r>
            <w:r/>
          </w:p>
        </w:tc>
        <w:tc>
          <w:tcPr>
            <w:tcBorders/>
            <w:tcW w:w="1580" w:type="dxa"/>
            <w:vAlign w:val="center"/>
          </w:tcPr>
          <w:p>
            <w:pPr>
              <w:pStyle w:val="721"/>
              <w:pBdr/>
              <w:spacing/>
              <w:ind/>
              <w:jc w:val="left"/>
              <w:rPr/>
            </w:pPr>
            <w:r>
              <w:rPr>
                <w:sz w:val="16"/>
              </w:rPr>
              <w:t xml:space="preserve">Los dos errores de la celda 0.3 quedaron corregidos y documentados: el precio máximo estaba entre comillas (texto en vez de número) y la clave del diccionario estaba mal escrita (Precio en vez de precio)</w:t>
            </w:r>
            <w:r/>
          </w:p>
        </w:tc>
      </w:tr>
      <w:tr>
        <w:trPr/>
        <w:tc>
          <w:tcPr>
            <w:tcBorders/>
            <w:tcW w:w="320" w:type="dxa"/>
            <w:vAlign w:val="center"/>
          </w:tcPr>
          <w:p>
            <w:pPr>
              <w:pStyle w:val="721"/>
              <w:pBdr/>
              <w:spacing/>
              <w:ind/>
              <w:jc w:val="center"/>
              <w:rPr/>
            </w:pPr>
            <w:r>
              <w:rPr>
                <w:sz w:val="16"/>
              </w:rPr>
              <w:t xml:space="preserve">2</w:t>
            </w:r>
            <w:r/>
          </w:p>
        </w:tc>
        <w:tc>
          <w:tcPr>
            <w:tcBorders/>
            <w:tcW w:w="850" w:type="dxa"/>
            <w:vAlign w:val="center"/>
          </w:tcPr>
          <w:p>
            <w:pPr>
              <w:pStyle w:val="721"/>
              <w:pBdr/>
              <w:spacing/>
              <w:ind/>
              <w:jc w:val="center"/>
              <w:rPr/>
            </w:pPr>
            <w:r>
              <w:rPr>
                <w:sz w:val="16"/>
              </w:rPr>
              <w:t xml:space="preserve">M1 · Calidad del dato</w:t>
            </w:r>
            <w:r/>
          </w:p>
        </w:tc>
        <w:tc>
          <w:tcPr>
            <w:tcBorders/>
            <w:tcW w:w="1150" w:type="dxa"/>
            <w:vAlign w:val="center"/>
          </w:tcPr>
          <w:p>
            <w:pPr>
              <w:pStyle w:val="721"/>
              <w:pBdr/>
              <w:spacing/>
              <w:ind/>
              <w:jc w:val="left"/>
              <w:rPr/>
            </w:pPr>
            <w:r>
              <w:rPr>
                <w:sz w:val="16"/>
              </w:rPr>
              <w:t xml:space="preserve">Liz Blanco (ING)</w:t>
            </w:r>
            <w:r/>
          </w:p>
        </w:tc>
        <w:tc>
          <w:tcPr>
            <w:tcBorders/>
            <w:tcW w:w="1200" w:type="dxa"/>
            <w:vAlign w:val="center"/>
          </w:tcPr>
          <w:p>
            <w:pPr>
              <w:pStyle w:val="721"/>
              <w:pBdr/>
              <w:spacing/>
              <w:ind/>
              <w:jc w:val="left"/>
              <w:rPr/>
            </w:pPr>
            <w:r>
              <w:rPr>
                <w:sz w:val="16"/>
              </w:rPr>
            </w:r>
            <w:r>
              <w:rPr>
                <w:sz w:val="16"/>
              </w:rPr>
              <w:t xml:space="preserve">Copilot, Gemini · VSCode</w:t>
            </w:r>
            <w:r>
              <w:rPr>
                <w:sz w:val="16"/>
              </w:rPr>
              <w:t xml:space="preserve"> (asistente de IA del equipo; prompt ejecutado en la consolidación del ING)</w:t>
            </w:r>
            <w:r/>
          </w:p>
        </w:tc>
        <w:tc>
          <w:tcPr>
            <w:tcBorders/>
            <w:tcW w:w="2350" w:type="dxa"/>
            <w:vAlign w:val="center"/>
          </w:tcPr>
          <w:p>
            <w:pPr>
              <w:pStyle w:val="721"/>
              <w:pBdr/>
              <w:spacing/>
              <w:ind/>
              <w:jc w:val="left"/>
              <w:rPr/>
            </w:pPr>
            <w:r>
              <w:rPr>
                <w:sz w:val="16"/>
              </w:rPr>
              <w:t xml:space="preserve">«Explícame línea por línea esta función de Python como si yo fuera abogado(a) o médico(a) y nunca hubiera programado: [pegar descargar_diario]» (celda 16)</w:t>
            </w:r>
            <w:r/>
          </w:p>
        </w:tc>
        <w:tc>
          <w:tcPr>
            <w:tcBorders/>
            <w:tcW w:w="1550" w:type="dxa"/>
            <w:vAlign w:val="center"/>
          </w:tcPr>
          <w:p>
            <w:pPr>
              <w:pStyle w:val="721"/>
              <w:pBdr/>
              <w:spacing/>
              <w:ind/>
              <w:jc w:val="left"/>
              <w:rPr/>
            </w:pPr>
            <w:r>
              <w:rPr>
                <w:sz w:val="16"/>
              </w:rPr>
              <w:t xml:space="preserve">Explicó el paso a paso de la función y por qué la energía se suma y el precio se promedia; acertó</w:t>
            </w:r>
            <w:r/>
          </w:p>
        </w:tc>
        <w:tc>
          <w:tcPr>
            <w:tcBorders/>
            <w:tcW w:w="1580" w:type="dxa"/>
            <w:vAlign w:val="center"/>
          </w:tcPr>
          <w:p>
            <w:pPr>
              <w:pStyle w:val="721"/>
              <w:pBdr/>
              <w:spacing/>
              <w:ind/>
              <w:jc w:val="left"/>
              <w:rPr/>
            </w:pPr>
            <w:r>
              <w:rPr>
                <w:sz w:val="16"/>
              </w:rPr>
              <w:t xml:space="preserve">La explicación de la IA se comparó con la escrita en la celda ✍️: coincidieron en la agregación (suma vs. promedio) y en el recálculo de pct_embalse (68,6972 % del promedio simple vs. 68,7219 % del cociente volumen ÷ capacidad)</w:t>
            </w:r>
            <w:r/>
          </w:p>
        </w:tc>
      </w:tr>
      <w:tr>
        <w:trPr/>
        <w:tc>
          <w:tcPr>
            <w:tcBorders/>
            <w:tcW w:w="320" w:type="dxa"/>
            <w:vAlign w:val="center"/>
          </w:tcPr>
          <w:p>
            <w:pPr>
              <w:pStyle w:val="721"/>
              <w:pBdr/>
              <w:spacing/>
              <w:ind/>
              <w:jc w:val="center"/>
              <w:rPr/>
            </w:pPr>
            <w:r>
              <w:rPr>
                <w:sz w:val="16"/>
              </w:rPr>
              <w:t xml:space="preserve">3</w:t>
            </w:r>
            <w:r/>
          </w:p>
        </w:tc>
        <w:tc>
          <w:tcPr>
            <w:tcBorders/>
            <w:tcW w:w="850" w:type="dxa"/>
            <w:vAlign w:val="center"/>
          </w:tcPr>
          <w:p>
            <w:pPr>
              <w:pStyle w:val="721"/>
              <w:pBdr/>
              <w:spacing/>
              <w:ind/>
              <w:jc w:val="center"/>
              <w:rPr/>
            </w:pPr>
            <w:r>
              <w:rPr>
                <w:sz w:val="16"/>
              </w:rPr>
              <w:t xml:space="preserve">M2 · Demanda y patrón semanal</w:t>
            </w:r>
            <w:r/>
          </w:p>
        </w:tc>
        <w:tc>
          <w:tcPr>
            <w:tcBorders/>
            <w:tcW w:w="1150" w:type="dxa"/>
            <w:vAlign w:val="center"/>
          </w:tcPr>
          <w:p>
            <w:pPr>
              <w:pStyle w:val="721"/>
              <w:pBdr/>
              <w:spacing/>
              <w:ind/>
              <w:jc w:val="left"/>
              <w:rPr/>
            </w:pPr>
            <w:r>
              <w:rPr>
                <w:sz w:val="16"/>
              </w:rPr>
              <w:t xml:space="preserve">Lina Bastidas (EST)</w:t>
            </w:r>
            <w:r/>
          </w:p>
        </w:tc>
        <w:tc>
          <w:tcPr>
            <w:tcBorders/>
            <w:tcW w:w="1200" w:type="dxa"/>
            <w:vAlign w:val="center"/>
          </w:tcPr>
          <w:p>
            <w:pPr>
              <w:pStyle w:val="721"/>
              <w:pBdr/>
              <w:spacing/>
              <w:ind/>
              <w:jc w:val="left"/>
              <w:rPr/>
            </w:pPr>
            <w:r>
              <w:rPr>
                <w:sz w:val="16"/>
              </w:rPr>
            </w:r>
            <w:r>
              <w:rPr>
                <w:sz w:val="16"/>
              </w:rPr>
              <w:t xml:space="preserve">Copilot, Gemini · VSCode</w:t>
            </w:r>
            <w:r>
              <w:rPr>
                <w:sz w:val="16"/>
              </w:rPr>
              <w:t xml:space="preserve"> (asistente de IA del equipo; prompt ejecutado en la consolidación del ING)</w:t>
            </w:r>
            <w:r/>
          </w:p>
        </w:tc>
        <w:tc>
          <w:tcPr>
            <w:tcBorders/>
            <w:tcW w:w="2350" w:type="dxa"/>
            <w:vAlign w:val="center"/>
          </w:tcPr>
          <w:p>
            <w:pPr>
              <w:pStyle w:val="721"/>
              <w:pBdr/>
              <w:spacing/>
              <w:ind/>
              <w:jc w:val="left"/>
              <w:rPr/>
            </w:pPr>
            <w:r>
              <w:rPr>
                <w:sz w:val="16"/>
              </w:rPr>
              <w:t xml:space="preserve">«Si el promedio móvil de 7 días se ve casi plano, ¿significa que la demanda no tiene patrón semanal? ¿Cómo se separa la tendencia del patrón?»</w:t>
            </w:r>
            <w:r/>
          </w:p>
        </w:tc>
        <w:tc>
          <w:tcPr>
            <w:tcBorders/>
            <w:tcW w:w="1550" w:type="dxa"/>
            <w:vAlign w:val="center"/>
          </w:tcPr>
          <w:p>
            <w:pPr>
              <w:pStyle w:val="721"/>
              <w:pBdr/>
              <w:spacing/>
              <w:ind/>
              <w:jc w:val="left"/>
              <w:rPr/>
            </w:pPr>
            <w:r>
              <w:rPr>
                <w:sz w:val="16"/>
              </w:rPr>
              <w:t xml:space="preserve">Acertó. Explicó que el promedio móvil de 7 día</w:t>
            </w:r>
            <w:r>
              <w:rPr>
                <w:sz w:val="16"/>
              </w:rPr>
              <w:t xml:space="preserve">s promedia exactamente un ciclo semanal, así que cada día recibe la misma mezcla de días laborables y de fin de semana: el patrón se aplana por construcción, no por ausencia. Para la tendencia hay que usar una ventana que no coincida con el ciclo (30 días)</w:t>
            </w:r>
            <w:r/>
          </w:p>
        </w:tc>
        <w:tc>
          <w:tcPr>
            <w:tcBorders/>
            <w:tcW w:w="1580" w:type="dxa"/>
            <w:vAlign w:val="center"/>
          </w:tcPr>
          <w:p>
            <w:pPr>
              <w:pStyle w:val="721"/>
              <w:pBdr/>
              <w:spacing/>
              <w:ind/>
              <w:jc w:val="left"/>
              <w:rPr/>
            </w:pPr>
            <w:r>
              <w:rPr>
                <w:sz w:val="16"/>
              </w:rPr>
              <w:t xml:space="preserve">La </w:t>
            </w:r>
            <w:r>
              <w:rPr>
                <w:sz w:val="16"/>
              </w:rPr>
              <w:t xml:space="preserve">línea de 30 días sí se ve separada de la de 7 (✅ 2.1) y, sin suavizar, el patrón aparece en la celda 2.2: Domingo 203,90 GWh (mínimo) contra Viernes 233,80 GWh (máximo), 14,7 % de diferencia, con el domingo 12,0 % por debajo del promedio de lunes a viernes</w:t>
            </w:r>
            <w:r/>
          </w:p>
        </w:tc>
      </w:tr>
      <w:tr>
        <w:trPr/>
        <w:tc>
          <w:tcPr>
            <w:tcBorders/>
            <w:tcW w:w="320" w:type="dxa"/>
            <w:vAlign w:val="center"/>
          </w:tcPr>
          <w:p>
            <w:pPr>
              <w:pStyle w:val="721"/>
              <w:pBdr/>
              <w:spacing/>
              <w:ind/>
              <w:jc w:val="center"/>
              <w:rPr/>
            </w:pPr>
            <w:r>
              <w:rPr>
                <w:sz w:val="16"/>
              </w:rPr>
              <w:t xml:space="preserve">4</w:t>
            </w:r>
            <w:r/>
          </w:p>
        </w:tc>
        <w:tc>
          <w:tcPr>
            <w:tcBorders/>
            <w:tcW w:w="850" w:type="dxa"/>
            <w:vAlign w:val="center"/>
          </w:tcPr>
          <w:p>
            <w:pPr>
              <w:pStyle w:val="721"/>
              <w:pBdr/>
              <w:spacing/>
              <w:ind/>
              <w:jc w:val="center"/>
              <w:rPr/>
            </w:pPr>
            <w:r>
              <w:rPr>
                <w:sz w:val="16"/>
              </w:rPr>
              <w:t xml:space="preserve">M3 · Variación interanual</w:t>
            </w:r>
            <w:r/>
          </w:p>
        </w:tc>
        <w:tc>
          <w:tcPr>
            <w:tcBorders/>
            <w:tcW w:w="1150" w:type="dxa"/>
            <w:vAlign w:val="center"/>
          </w:tcPr>
          <w:p>
            <w:pPr>
              <w:pStyle w:val="721"/>
              <w:pBdr/>
              <w:spacing/>
              <w:ind/>
              <w:jc w:val="left"/>
              <w:rPr/>
            </w:pPr>
            <w:r>
              <w:rPr>
                <w:sz w:val="16"/>
              </w:rPr>
              <w:t xml:space="preserve">Heriberto Valencia (PRG)</w:t>
            </w:r>
            <w:r/>
          </w:p>
        </w:tc>
        <w:tc>
          <w:tcPr>
            <w:tcBorders/>
            <w:tcW w:w="1200" w:type="dxa"/>
            <w:vAlign w:val="center"/>
          </w:tcPr>
          <w:p>
            <w:pPr>
              <w:pStyle w:val="721"/>
              <w:pBdr/>
              <w:spacing/>
              <w:ind/>
              <w:jc w:val="left"/>
              <w:rPr/>
            </w:pPr>
            <w:r>
              <w:rPr>
                <w:sz w:val="16"/>
              </w:rPr>
              <w:t xml:space="preserve">Copilot, Gemini · VSCode y PyCharm</w:t>
            </w:r>
            <w:r/>
          </w:p>
        </w:tc>
        <w:tc>
          <w:tcPr>
            <w:tcBorders/>
            <w:tcW w:w="2350" w:type="dxa"/>
            <w:vAlign w:val="center"/>
          </w:tcPr>
          <w:p>
            <w:pPr>
              <w:pStyle w:val="721"/>
              <w:pBdr/>
              <w:spacing/>
              <w:ind/>
              <w:jc w:val="left"/>
              <w:rPr/>
            </w:pPr>
            <w:r>
              <w:rPr>
                <w:sz w:val="16"/>
              </w:rPr>
              <w:t xml:space="preserve">«Explícame, sin jerga técnica, por qué la energía se suma al pasar de días a meses pero el precio se promedia» y «Propón tres pruebas automáticas que detecten los tres errores de la celda 3.1»</w:t>
            </w:r>
            <w:r/>
          </w:p>
        </w:tc>
        <w:tc>
          <w:tcPr>
            <w:tcBorders/>
            <w:tcW w:w="1550" w:type="dxa"/>
            <w:vAlign w:val="center"/>
          </w:tcPr>
          <w:p>
            <w:pPr>
              <w:pStyle w:val="721"/>
              <w:pBdr/>
              <w:spacing/>
              <w:ind/>
              <w:jc w:val="left"/>
              <w:rPr/>
            </w:pPr>
            <w:r>
              <w:rPr>
                <w:sz w:val="16"/>
              </w:rPr>
              <w:t xml:space="preserve">Detectó los tres errores de la celda 3.1: .mean() en vez de .sum(), el condicional &gt; invertido y pct_change(periods=1) en vez de 12; acertó</w:t>
            </w:r>
            <w:r/>
          </w:p>
        </w:tc>
        <w:tc>
          <w:tcPr>
            <w:tcBorders/>
            <w:tcW w:w="1580" w:type="dxa"/>
            <w:vAlign w:val="center"/>
          </w:tcPr>
          <w:p>
            <w:pPr>
              <w:pStyle w:val="721"/>
              <w:pBdr/>
              <w:spacing/>
              <w:ind/>
              <w:jc w:val="left"/>
              <w:rPr/>
            </w:pPr>
            <w:r>
              <w:rPr>
                <w:sz w:val="16"/>
              </w:rPr>
              <w:t xml:space="preserve">Verificado ejecutando el cuaderno: ✅ 3.1, 3.2 y 3.3 en verde, más las pruebas propias 3.A, 3.B y 3.C de la celda 3.4, que se ponen en rojo al reintroducir cada error</w:t>
            </w:r>
            <w:r/>
          </w:p>
        </w:tc>
      </w:tr>
      <w:tr>
        <w:trPr/>
        <w:tc>
          <w:tcPr>
            <w:tcBorders/>
            <w:tcW w:w="320" w:type="dxa"/>
            <w:vAlign w:val="center"/>
          </w:tcPr>
          <w:p>
            <w:pPr>
              <w:pStyle w:val="721"/>
              <w:pBdr/>
              <w:spacing/>
              <w:ind/>
              <w:jc w:val="center"/>
              <w:rPr/>
            </w:pPr>
            <w:r>
              <w:rPr>
                <w:sz w:val="16"/>
              </w:rPr>
              <w:t xml:space="preserve">5</w:t>
            </w:r>
            <w:r/>
          </w:p>
        </w:tc>
        <w:tc>
          <w:tcPr>
            <w:tcBorders/>
            <w:tcW w:w="850" w:type="dxa"/>
            <w:vAlign w:val="center"/>
          </w:tcPr>
          <w:p>
            <w:pPr>
              <w:pStyle w:val="721"/>
              <w:pBdr/>
              <w:spacing/>
              <w:ind/>
              <w:jc w:val="center"/>
              <w:rPr/>
            </w:pPr>
            <w:r>
              <w:rPr>
                <w:sz w:val="16"/>
              </w:rPr>
              <w:t xml:space="preserve">M5 🤖 · Precio de bolsa</w:t>
            </w:r>
            <w:r/>
          </w:p>
        </w:tc>
        <w:tc>
          <w:tcPr>
            <w:tcBorders/>
            <w:tcW w:w="1150" w:type="dxa"/>
            <w:vAlign w:val="center"/>
          </w:tcPr>
          <w:p>
            <w:pPr>
              <w:pStyle w:val="721"/>
              <w:pBdr/>
              <w:spacing/>
              <w:ind/>
              <w:jc w:val="left"/>
              <w:rPr/>
            </w:pPr>
            <w:r>
              <w:rPr>
                <w:sz w:val="16"/>
              </w:rPr>
              <w:t xml:space="preserve">Anderson Silva (ENE)</w:t>
            </w:r>
            <w:r/>
          </w:p>
        </w:tc>
        <w:tc>
          <w:tcPr>
            <w:tcBorders/>
            <w:tcW w:w="1200" w:type="dxa"/>
            <w:vAlign w:val="center"/>
          </w:tcPr>
          <w:p>
            <w:pPr>
              <w:pStyle w:val="721"/>
              <w:pBdr/>
              <w:spacing/>
              <w:ind/>
              <w:jc w:val="left"/>
              <w:rPr/>
            </w:pPr>
            <w:r>
              <w:rPr>
                <w:sz w:val="16"/>
              </w:rPr>
              <w:t xml:space="preserve">Comentario del kit (IA generativa) · la alucinación que la guía pide detectar; verificada con </w:t>
            </w:r>
            <w:r>
              <w:rPr>
                <w:sz w:val="16"/>
              </w:rPr>
              <w:t xml:space="preserve">Copilot, Gemini · VSCode</w:t>
            </w:r>
            <w:r>
              <w:rPr>
                <w:sz w:val="16"/>
              </w:rPr>
            </w:r>
            <w:r/>
          </w:p>
        </w:tc>
        <w:tc>
          <w:tcPr>
            <w:tcBorders/>
            <w:tcW w:w="2350" w:type="dxa"/>
            <w:vAlign w:val="center"/>
          </w:tcPr>
          <w:p>
            <w:pPr>
              <w:pStyle w:val="721"/>
              <w:pBdr/>
              <w:spacing/>
              <w:ind/>
              <w:jc w:val="left"/>
              <w:rPr/>
            </w:pPr>
            <w:r>
              <w:rPr>
                <w:sz w:val="16"/>
              </w:rPr>
              <w:t xml:space="preserve">Verificar la unidad de PrecBolsNaci (comentario 🤖 de la celda 5.1)</w:t>
            </w:r>
            <w:r/>
          </w:p>
        </w:tc>
        <w:tc>
          <w:tcPr>
            <w:tcBorders/>
            <w:tcW w:w="1550" w:type="dxa"/>
            <w:vAlign w:val="center"/>
          </w:tcPr>
          <w:p>
            <w:pPr>
              <w:pStyle w:val="721"/>
              <w:pBdr/>
              <w:spacing/>
              <w:ind/>
              <w:jc w:val="left"/>
              <w:rPr/>
            </w:pPr>
            <w:r>
              <w:rPr>
                <w:sz w:val="16"/>
              </w:rPr>
              <w:t xml:space="preserve">Contestó que «PrecBolsNaci viene en dólares por megavatio-hora (USD/MWh)»: NO ACERTÓ, alucinación</w:t>
            </w:r>
            <w:r/>
          </w:p>
        </w:tc>
        <w:tc>
          <w:tcPr>
            <w:tcBorders/>
            <w:tcW w:w="1580" w:type="dxa"/>
            <w:vAlign w:val="center"/>
          </w:tcPr>
          <w:p>
            <w:pPr>
              <w:pStyle w:val="721"/>
              <w:pBdr/>
              <w:spacing/>
              <w:ind/>
              <w:jc w:val="left"/>
              <w:rPr/>
            </w:pPr>
            <w:r>
              <w:rPr>
                <w:sz w:val="16"/>
              </w:rPr>
              <w:t xml:space="preserve">Se verificó con buscar("PrecBolsNaci") en la celda 0.4: la columna MetricUnits dice COP/kWh. Además los datos lo confirman (media 434,26, máximo 2.498,80 COP/kWh). El comentario quedó corregido en la celda 5.1</w:t>
            </w:r>
            <w:r/>
          </w:p>
        </w:tc>
      </w:tr>
      <w:tr>
        <w:trPr/>
        <w:tc>
          <w:tcPr>
            <w:tcBorders/>
            <w:tcW w:w="320" w:type="dxa"/>
            <w:vAlign w:val="center"/>
          </w:tcPr>
          <w:p>
            <w:pPr>
              <w:pStyle w:val="721"/>
              <w:pBdr/>
              <w:spacing/>
              <w:ind/>
              <w:jc w:val="center"/>
              <w:rPr/>
            </w:pPr>
            <w:r>
              <w:rPr>
                <w:sz w:val="16"/>
              </w:rPr>
              <w:t xml:space="preserve">6</w:t>
            </w:r>
            <w:r/>
          </w:p>
        </w:tc>
        <w:tc>
          <w:tcPr>
            <w:tcBorders/>
            <w:tcW w:w="850" w:type="dxa"/>
            <w:vAlign w:val="center"/>
          </w:tcPr>
          <w:p>
            <w:pPr>
              <w:pStyle w:val="721"/>
              <w:pBdr/>
              <w:spacing/>
              <w:ind/>
              <w:jc w:val="center"/>
              <w:rPr/>
            </w:pPr>
            <w:r>
              <w:rPr>
                <w:sz w:val="16"/>
              </w:rPr>
              <w:t xml:space="preserve">M8 🤖 · Experimento con la IA</w:t>
            </w:r>
            <w:r/>
          </w:p>
        </w:tc>
        <w:tc>
          <w:tcPr>
            <w:tcBorders/>
            <w:tcW w:w="1150" w:type="dxa"/>
            <w:vAlign w:val="center"/>
          </w:tcPr>
          <w:p>
            <w:pPr>
              <w:pStyle w:val="721"/>
              <w:pBdr/>
              <w:spacing/>
              <w:ind/>
              <w:jc w:val="left"/>
              <w:rPr/>
            </w:pPr>
            <w:r>
              <w:rPr>
                <w:sz w:val="16"/>
              </w:rPr>
              <w:t xml:space="preserve">Juan Diego Rubio (COM)</w:t>
            </w:r>
            <w:r/>
          </w:p>
        </w:tc>
        <w:tc>
          <w:tcPr>
            <w:tcBorders/>
            <w:tcW w:w="1200" w:type="dxa"/>
            <w:vAlign w:val="center"/>
          </w:tcPr>
          <w:p>
            <w:pPr>
              <w:pStyle w:val="721"/>
              <w:pBdr/>
              <w:spacing/>
              <w:ind/>
              <w:jc w:val="left"/>
              <w:rPr/>
            </w:pPr>
            <w:r>
              <w:rPr>
                <w:sz w:val="16"/>
              </w:rPr>
            </w:r>
            <w:r>
              <w:rPr>
                <w:sz w:val="16"/>
              </w:rPr>
              <w:t xml:space="preserve">Copilot, Gemini · VSCode</w:t>
            </w:r>
            <w:r>
              <w:rPr>
                <w:sz w:val="16"/>
              </w:rPr>
              <w:t xml:space="preserve"> (asistente de IA con el que se documentó este cuaderno)</w:t>
            </w:r>
            <w:r/>
          </w:p>
        </w:tc>
        <w:tc>
          <w:tcPr>
            <w:tcBorders/>
            <w:tcW w:w="2350" w:type="dxa"/>
            <w:vAlign w:val="center"/>
          </w:tcPr>
          <w:p>
            <w:pPr>
              <w:pStyle w:val="721"/>
              <w:pBdr/>
              <w:spacing/>
              <w:ind/>
              <w:jc w:val="left"/>
              <w:rPr/>
            </w:pPr>
            <w:r>
              <w:rPr>
                <w:sz w:val="16"/>
              </w:rPr>
              <w:t xml:space="preserve">«¿Esta función clasifica bien un nivel de 30 %?», copiando semaforo_embalse tal como venía al principio (celda 7.1 del kit, con errores)</w:t>
            </w:r>
            <w:r/>
          </w:p>
        </w:tc>
        <w:tc>
          <w:tcPr>
            <w:tcBorders/>
            <w:tcW w:w="1550" w:type="dxa"/>
            <w:vAlign w:val="center"/>
          </w:tcPr>
          <w:p>
            <w:pPr>
              <w:pStyle w:val="721"/>
              <w:pBdr/>
              <w:spacing/>
              <w:ind/>
              <w:jc w:val="left"/>
              <w:rPr/>
            </w:pPr>
            <w:r>
              <w:rPr>
                <w:sz w:val="16"/>
              </w:rPr>
              <w:t xml:space="preserve">Contestó que no: con if pct &lt; 80 primero, 30 cae en «vigilancia» cuando debería ser «crítico»; además la rama elif pct &lt; 40 es inalcanzable y falta el caso «sin dato»; acertó</w:t>
            </w:r>
            <w:r/>
          </w:p>
        </w:tc>
        <w:tc>
          <w:tcPr>
            <w:tcBorders/>
            <w:tcW w:w="1580" w:type="dxa"/>
            <w:vAlign w:val="center"/>
          </w:tcPr>
          <w:p>
            <w:pPr>
              <w:pStyle w:val="721"/>
              <w:pBdr/>
              <w:spacing/>
              <w:ind/>
              <w:jc w:val="left"/>
              <w:rPr/>
            </w:pPr>
            <w:r>
              <w:rPr>
                <w:sz w:val="16"/>
              </w:rPr>
              <w:t xml:space="preserve">Comprobado ejecutando la función original: 30 → «vigilancia» y NaN → «seguro». Corregido en la celda 7.1 con # CORREGIDO y verificado por ✅ 7.2, 7.3 y 7.R</w:t>
            </w:r>
            <w:r/>
          </w:p>
        </w:tc>
      </w:tr>
      <w:tr>
        <w:trPr/>
        <w:tc>
          <w:tcPr>
            <w:tcBorders/>
            <w:tcW w:w="320" w:type="dxa"/>
            <w:vAlign w:val="center"/>
          </w:tcPr>
          <w:p>
            <w:pPr>
              <w:pStyle w:val="721"/>
              <w:pBdr/>
              <w:spacing/>
              <w:ind/>
              <w:jc w:val="center"/>
              <w:rPr/>
            </w:pPr>
            <w:r>
              <w:rPr>
                <w:sz w:val="16"/>
              </w:rPr>
              <w:t xml:space="preserve">7</w:t>
            </w:r>
            <w:r/>
          </w:p>
        </w:tc>
        <w:tc>
          <w:tcPr>
            <w:tcBorders/>
            <w:tcW w:w="850" w:type="dxa"/>
            <w:vAlign w:val="center"/>
          </w:tcPr>
          <w:p>
            <w:pPr>
              <w:pStyle w:val="721"/>
              <w:pBdr/>
              <w:spacing/>
              <w:ind/>
              <w:jc w:val="center"/>
              <w:rPr/>
            </w:pPr>
            <w:r>
              <w:rPr>
                <w:sz w:val="16"/>
              </w:rPr>
              <w:t xml:space="preserve">M4 · Embalses frente a la meta</w:t>
            </w:r>
            <w:r/>
          </w:p>
        </w:tc>
        <w:tc>
          <w:tcPr>
            <w:tcBorders/>
            <w:tcW w:w="1150" w:type="dxa"/>
            <w:vAlign w:val="center"/>
          </w:tcPr>
          <w:p>
            <w:pPr>
              <w:pStyle w:val="721"/>
              <w:pBdr/>
              <w:spacing/>
              <w:ind/>
              <w:jc w:val="left"/>
              <w:rPr/>
            </w:pPr>
            <w:r>
              <w:rPr>
                <w:sz w:val="16"/>
              </w:rPr>
              <w:t xml:space="preserve">Anderson Silva (ENE)</w:t>
            </w:r>
            <w:r/>
          </w:p>
        </w:tc>
        <w:tc>
          <w:tcPr>
            <w:tcBorders/>
            <w:tcW w:w="1200" w:type="dxa"/>
            <w:vAlign w:val="center"/>
          </w:tcPr>
          <w:p>
            <w:pPr>
              <w:pStyle w:val="721"/>
              <w:pBdr/>
              <w:spacing/>
              <w:ind/>
              <w:jc w:val="left"/>
              <w:rPr/>
            </w:pPr>
            <w:r>
              <w:rPr>
                <w:sz w:val="16"/>
              </w:rPr>
            </w:r>
            <w:r>
              <w:rPr>
                <w:sz w:val="16"/>
              </w:rPr>
              <w:t xml:space="preserve">Copilot, Gemini · VSCode</w:t>
            </w:r>
            <w:r>
              <w:rPr>
                <w:sz w:val="16"/>
                <w:lang w:val="en-US"/>
              </w:rPr>
              <w:t xml:space="preserve"> </w:t>
            </w:r>
            <w:r>
              <w:rPr>
                <w:sz w:val="16"/>
              </w:rPr>
              <w:t xml:space="preserve">(asistente de IA del equipo; prompt ejecutado en la consolidación del ING)</w:t>
            </w:r>
            <w:r/>
          </w:p>
        </w:tc>
        <w:tc>
          <w:tcPr>
            <w:tcBorders/>
            <w:tcW w:w="2350" w:type="dxa"/>
            <w:vAlign w:val="center"/>
          </w:tcPr>
          <w:p>
            <w:pPr>
              <w:pStyle w:val="721"/>
              <w:pBdr/>
              <w:spacing/>
              <w:ind/>
              <w:jc w:val="left"/>
              <w:rPr/>
            </w:pPr>
            <w:r>
              <w:rPr>
                <w:sz w:val="16"/>
              </w:rPr>
              <w:t xml:space="preserve">«¿Cuál fue el nivel mínimo de llenado de los embalses en Colombia durante 2024 y en qué fecha?» (para contrastar con la prensa, como pide la misión)</w:t>
            </w:r>
            <w:r/>
          </w:p>
        </w:tc>
        <w:tc>
          <w:tcPr>
            <w:tcBorders/>
            <w:tcW w:w="1550" w:type="dxa"/>
            <w:vAlign w:val="center"/>
          </w:tcPr>
          <w:p>
            <w:pPr>
              <w:pStyle w:val="721"/>
              <w:pBdr/>
              <w:spacing/>
              <w:ind/>
              <w:jc w:val="left"/>
              <w:rPr/>
            </w:pPr>
            <w:r>
              <w:rPr>
                <w:sz w:val="16"/>
              </w:rPr>
              <w:t xml:space="preserve">Acertó. El nivel más bajo de 2024 fue de 28,56 % y ocurrió el 18 de abril de 2024, en plena temporada seca, con el sistema cerca del racionamiento</w:t>
            </w:r>
            <w:r/>
          </w:p>
        </w:tc>
        <w:tc>
          <w:tcPr>
            <w:tcBorders/>
            <w:tcW w:w="1580" w:type="dxa"/>
            <w:vAlign w:val="center"/>
          </w:tcPr>
          <w:p>
            <w:pPr>
              <w:pStyle w:val="721"/>
              <w:pBdr/>
              <w:spacing/>
              <w:ind/>
              <w:jc w:val="left"/>
              <w:rPr/>
            </w:pPr>
            <w:r>
              <w:rPr>
                <w:sz w:val="16"/>
              </w:rPr>
              <w:t xml:space="preserve">El cuaderno lo confirma con la ✅ 4.2 (embalse[fecha_minimo_2024] == minimo_2024): 28,56 % el 2024-04-18. Hoy la distancia a la meta es de 3,4 puntos porcentuales (76,56 % al 2026-10-22)</w:t>
            </w:r>
            <w:r/>
          </w:p>
        </w:tc>
      </w:tr>
      <w:tr>
        <w:trPr/>
        <w:tc>
          <w:tcPr>
            <w:tcBorders/>
            <w:tcW w:w="320" w:type="dxa"/>
            <w:vAlign w:val="center"/>
          </w:tcPr>
          <w:p>
            <w:pPr>
              <w:pStyle w:val="721"/>
              <w:pBdr/>
              <w:spacing/>
              <w:ind/>
              <w:jc w:val="center"/>
              <w:rPr/>
            </w:pPr>
            <w:r>
              <w:rPr>
                <w:sz w:val="16"/>
              </w:rPr>
              <w:t xml:space="preserve">8</w:t>
            </w:r>
            <w:r/>
          </w:p>
        </w:tc>
        <w:tc>
          <w:tcPr>
            <w:tcBorders/>
            <w:tcW w:w="850" w:type="dxa"/>
            <w:vAlign w:val="center"/>
          </w:tcPr>
          <w:p>
            <w:pPr>
              <w:pStyle w:val="721"/>
              <w:pBdr/>
              <w:spacing/>
              <w:ind/>
              <w:jc w:val="center"/>
              <w:rPr/>
            </w:pPr>
            <w:r>
              <w:rPr>
                <w:sz w:val="16"/>
              </w:rPr>
              <w:t xml:space="preserve">M6 · Embalses vs. precio</w:t>
            </w:r>
            <w:r/>
          </w:p>
        </w:tc>
        <w:tc>
          <w:tcPr>
            <w:tcBorders/>
            <w:tcW w:w="1150" w:type="dxa"/>
            <w:vAlign w:val="center"/>
          </w:tcPr>
          <w:p>
            <w:pPr>
              <w:pStyle w:val="721"/>
              <w:pBdr/>
              <w:spacing/>
              <w:ind/>
              <w:jc w:val="left"/>
              <w:rPr/>
            </w:pPr>
            <w:r>
              <w:rPr>
                <w:sz w:val="16"/>
              </w:rPr>
              <w:t xml:space="preserve">Lina Bastidas (EST)</w:t>
            </w:r>
            <w:r/>
          </w:p>
        </w:tc>
        <w:tc>
          <w:tcPr>
            <w:tcBorders/>
            <w:tcW w:w="1200" w:type="dxa"/>
            <w:vAlign w:val="center"/>
          </w:tcPr>
          <w:p>
            <w:pPr>
              <w:pStyle w:val="721"/>
              <w:pBdr/>
              <w:spacing/>
              <w:ind/>
              <w:jc w:val="left"/>
              <w:rPr/>
            </w:pPr>
            <w:r>
              <w:rPr>
                <w:sz w:val="16"/>
              </w:rPr>
            </w:r>
            <w:r>
              <w:rPr>
                <w:sz w:val="16"/>
              </w:rPr>
              <w:t xml:space="preserve">Copilot, Gemini · VSCode</w:t>
            </w:r>
            <w:r>
              <w:rPr>
                <w:sz w:val="16"/>
              </w:rPr>
              <w:t xml:space="preserve"> (asistente de IA del equipo; prompt ejecutado en la consolidación del ING)</w:t>
            </w:r>
            <w:r/>
          </w:p>
        </w:tc>
        <w:tc>
          <w:tcPr>
            <w:tcBorders/>
            <w:tcW w:w="2350" w:type="dxa"/>
            <w:vAlign w:val="center"/>
          </w:tcPr>
          <w:p>
            <w:pPr>
              <w:pStyle w:val="721"/>
              <w:pBdr/>
              <w:spacing/>
              <w:ind/>
              <w:jc w:val="left"/>
              <w:rPr/>
            </w:pPr>
            <w:r>
              <w:rPr>
                <w:sz w:val="16"/>
              </w:rPr>
              <w:t xml:space="preserve">«¿Por qué Pearson y Spearman dan exactamente lo mismo en la celda 6.2?»</w:t>
            </w:r>
            <w:r/>
          </w:p>
        </w:tc>
        <w:tc>
          <w:tcPr>
            <w:tcBorders/>
            <w:tcW w:w="1550" w:type="dxa"/>
            <w:vAlign w:val="center"/>
          </w:tcPr>
          <w:p>
            <w:pPr>
              <w:pStyle w:val="721"/>
              <w:pBdr/>
              <w:spacing/>
              <w:ind/>
              <w:jc w:val="left"/>
              <w:rPr/>
            </w:pPr>
            <w:r>
              <w:rPr>
                <w:sz w:val="16"/>
              </w:rPr>
              <w:t xml:space="preserve">Acertó. No era casualidad: la línea de Spearman se había escrito con method="pearson" (un copiado del renglón de arriba), de modo que el código calculaba dos veces la misma correlación. Con method="spearman" los dos valores difieren</w:t>
            </w:r>
            <w:r/>
          </w:p>
        </w:tc>
        <w:tc>
          <w:tcPr>
            <w:tcBorders/>
            <w:tcW w:w="1580" w:type="dxa"/>
            <w:vAlign w:val="center"/>
          </w:tcPr>
          <w:p>
            <w:pPr>
              <w:pStyle w:val="721"/>
              <w:pBdr/>
              <w:spacing/>
              <w:ind/>
              <w:jc w:val="left"/>
              <w:rPr/>
            </w:pPr>
            <w:r>
              <w:rPr>
                <w:sz w:val="16"/>
              </w:rPr>
              <w:t xml:space="preserve">Celda 6.2 después de corregir: Pearson −0,226 y Spearman −0,252 (✅ 6.3, «Pearson y Spearman calculados por separado»). Y por año el Spearman va de −0,05 (2022) a +0,39 (2026): el signo cambia, la relación no es estable</w:t>
            </w:r>
            <w:r/>
          </w:p>
        </w:tc>
      </w:tr>
      <w:tr>
        <w:trPr/>
        <w:tc>
          <w:tcPr>
            <w:tcBorders/>
            <w:tcW w:w="320" w:type="dxa"/>
            <w:vAlign w:val="center"/>
          </w:tcPr>
          <w:p>
            <w:pPr>
              <w:pStyle w:val="721"/>
              <w:pBdr/>
              <w:spacing/>
              <w:ind/>
              <w:jc w:val="center"/>
              <w:rPr/>
            </w:pPr>
            <w:r>
              <w:rPr>
                <w:sz w:val="16"/>
              </w:rPr>
              <w:t xml:space="preserve">9</w:t>
            </w:r>
            <w:r/>
          </w:p>
        </w:tc>
        <w:tc>
          <w:tcPr>
            <w:tcBorders/>
            <w:tcW w:w="850" w:type="dxa"/>
            <w:vAlign w:val="center"/>
          </w:tcPr>
          <w:p>
            <w:pPr>
              <w:pStyle w:val="721"/>
              <w:pBdr/>
              <w:spacing/>
              <w:ind/>
              <w:jc w:val="center"/>
              <w:rPr/>
            </w:pPr>
            <w:r>
              <w:rPr>
                <w:sz w:val="16"/>
              </w:rPr>
              <w:t xml:space="preserve">M7 · Funciones y semáforo</w:t>
            </w:r>
            <w:r/>
          </w:p>
        </w:tc>
        <w:tc>
          <w:tcPr>
            <w:tcBorders/>
            <w:tcW w:w="1150" w:type="dxa"/>
            <w:vAlign w:val="center"/>
          </w:tcPr>
          <w:p>
            <w:pPr>
              <w:pStyle w:val="721"/>
              <w:pBdr/>
              <w:spacing/>
              <w:ind/>
              <w:jc w:val="left"/>
              <w:rPr/>
            </w:pPr>
            <w:r>
              <w:rPr>
                <w:sz w:val="16"/>
              </w:rPr>
              <w:t xml:space="preserve">Heriberto Valencia (PRG)</w:t>
            </w:r>
            <w:r/>
          </w:p>
        </w:tc>
        <w:tc>
          <w:tcPr>
            <w:tcBorders/>
            <w:tcW w:w="1200" w:type="dxa"/>
            <w:vAlign w:val="center"/>
          </w:tcPr>
          <w:p>
            <w:pPr>
              <w:pStyle w:val="721"/>
              <w:pBdr/>
              <w:spacing/>
              <w:ind/>
              <w:jc w:val="left"/>
              <w:rPr/>
            </w:pPr>
            <w:r>
              <w:rPr>
                <w:sz w:val="16"/>
              </w:rPr>
              <w:t xml:space="preserve">Copilot, Gemini · VSCode y PyCharm</w:t>
            </w:r>
            <w:r/>
          </w:p>
        </w:tc>
        <w:tc>
          <w:tcPr>
            <w:tcBorders/>
            <w:tcW w:w="2350" w:type="dxa"/>
            <w:vAlign w:val="center"/>
          </w:tcPr>
          <w:p>
            <w:pPr>
              <w:pStyle w:val="721"/>
              <w:pBdr/>
              <w:spacing/>
              <w:ind/>
              <w:jc w:val="left"/>
              <w:rPr/>
            </w:pPr>
            <w:r>
              <w:rPr>
                <w:sz w:val="16"/>
              </w:rPr>
              <w:t xml:space="preserve">«¿Qué le falta a semaforo_embalse para cumplir su docstring?» y «Implementa racha_mas_larga con la pista del docstring, sin cambiar la firma»</w:t>
            </w:r>
            <w:r/>
          </w:p>
        </w:tc>
        <w:tc>
          <w:tcPr>
            <w:tcBorders/>
            <w:tcW w:w="1550" w:type="dxa"/>
            <w:vAlign w:val="center"/>
          </w:tcPr>
          <w:p>
            <w:pPr>
              <w:pStyle w:val="721"/>
              <w:pBdr/>
              <w:spacing/>
              <w:ind/>
              <w:jc w:val="left"/>
              <w:rPr/>
            </w:pPr>
            <w:r>
              <w:rPr>
                <w:sz w:val="16"/>
              </w:rPr>
              <w:t xml:space="preserve">Detectó los dos huecos: el orden invertido de las condiciones y el caso «sin dato» ausente; acertó</w:t>
            </w:r>
            <w:r/>
          </w:p>
        </w:tc>
        <w:tc>
          <w:tcPr>
            <w:tcBorders/>
            <w:tcW w:w="1580" w:type="dxa"/>
            <w:vAlign w:val="center"/>
          </w:tcPr>
          <w:p>
            <w:pPr>
              <w:pStyle w:val="721"/>
              <w:pBdr/>
              <w:spacing/>
              <w:ind/>
              <w:jc w:val="left"/>
              <w:rPr/>
            </w:pPr>
            <w:r>
              <w:rPr>
                <w:sz w:val="16"/>
              </w:rPr>
              <w:t xml:space="preserve">Verificado con la tabla de bordes de la celda 7.3 (39,9 → crítico · 40 → vigilancia · 79,9 → vigilancia · 80 → seguro · NaN → sin dato) y por ✅ 7.1, 7.2, 7.3 y 7.R</w:t>
            </w:r>
            <w:r/>
          </w:p>
        </w:tc>
      </w:tr>
      <w:tr>
        <w:trPr/>
        <w:tc>
          <w:tcPr>
            <w:tcBorders/>
            <w:tcW w:w="320" w:type="dxa"/>
            <w:vAlign w:val="center"/>
          </w:tcPr>
          <w:p>
            <w:pPr>
              <w:pStyle w:val="721"/>
              <w:pBdr/>
              <w:spacing/>
              <w:ind/>
              <w:jc w:val="center"/>
              <w:rPr/>
            </w:pPr>
            <w:r>
              <w:rPr>
                <w:sz w:val="16"/>
              </w:rPr>
              <w:t xml:space="preserve">10</w:t>
            </w:r>
            <w:r/>
          </w:p>
        </w:tc>
        <w:tc>
          <w:tcPr>
            <w:tcBorders/>
            <w:tcW w:w="850" w:type="dxa"/>
            <w:vAlign w:val="center"/>
          </w:tcPr>
          <w:p>
            <w:pPr>
              <w:pStyle w:val="721"/>
              <w:pBdr/>
              <w:spacing/>
              <w:ind/>
              <w:jc w:val="center"/>
              <w:rPr/>
            </w:pPr>
            <w:r>
              <w:rPr>
                <w:sz w:val="16"/>
              </w:rPr>
              <w:t xml:space="preserve">M8 · Conclusión ejecutiva y bitácora</w:t>
            </w:r>
            <w:r/>
          </w:p>
        </w:tc>
        <w:tc>
          <w:tcPr>
            <w:tcBorders/>
            <w:tcW w:w="1150" w:type="dxa"/>
            <w:vAlign w:val="center"/>
          </w:tcPr>
          <w:p>
            <w:pPr>
              <w:pStyle w:val="721"/>
              <w:pBdr/>
              <w:spacing/>
              <w:ind/>
              <w:jc w:val="left"/>
              <w:rPr/>
            </w:pPr>
            <w:r>
              <w:rPr>
                <w:sz w:val="16"/>
              </w:rPr>
              <w:t xml:space="preserve">Juan Diego Rubio (COM)</w:t>
            </w:r>
            <w:r/>
          </w:p>
        </w:tc>
        <w:tc>
          <w:tcPr>
            <w:tcBorders/>
            <w:tcW w:w="1200" w:type="dxa"/>
            <w:vAlign w:val="center"/>
          </w:tcPr>
          <w:p>
            <w:pPr>
              <w:pStyle w:val="721"/>
              <w:pBdr/>
              <w:spacing/>
              <w:ind/>
              <w:jc w:val="left"/>
              <w:rPr/>
            </w:pPr>
            <w:r>
              <w:rPr>
                <w:sz w:val="16"/>
              </w:rPr>
            </w:r>
            <w:r>
              <w:rPr>
                <w:sz w:val="16"/>
              </w:rPr>
              <w:t xml:space="preserve">Copilot, Gemini · VSCode</w:t>
            </w:r>
            <w:r>
              <w:rPr>
                <w:sz w:val="16"/>
              </w:rPr>
              <w:t xml:space="preserve">(asistente de IA del equipo; prompt ejecutado en la consolidación del ING)</w:t>
            </w:r>
            <w:r/>
          </w:p>
        </w:tc>
        <w:tc>
          <w:tcPr>
            <w:tcBorders/>
            <w:tcW w:w="2350" w:type="dxa"/>
            <w:vAlign w:val="center"/>
          </w:tcPr>
          <w:p>
            <w:pPr>
              <w:pStyle w:val="721"/>
              <w:pBdr/>
              <w:spacing/>
              <w:ind/>
              <w:jc w:val="left"/>
              <w:rPr/>
            </w:pPr>
            <w:r>
              <w:rPr>
                <w:sz w:val="16"/>
              </w:rPr>
              <w:t xml:space="preserve">«Antes de publicar la ficha de cifras de la celda 8.2, ¿qué cifras están mal y cómo las corrijo?»</w:t>
            </w:r>
            <w:r/>
          </w:p>
        </w:tc>
        <w:tc>
          <w:tcPr>
            <w:tcBorders/>
            <w:tcW w:w="1550" w:type="dxa"/>
            <w:vAlign w:val="center"/>
          </w:tcPr>
          <w:p>
            <w:pPr>
              <w:pStyle w:val="721"/>
              <w:pBdr/>
              <w:spacing/>
              <w:ind/>
              <w:jc w:val="left"/>
              <w:rPr/>
            </w:pPr>
            <w:r>
              <w:rPr>
                <w:sz w:val="16"/>
              </w:rPr>
              <w:t xml:space="preserve">Acertó. Encontró los tres problemas: (1) variacion_pct dividía la diferencia por el valor nuevo, así que de 100 a 150 daba 33 % en vez de 50 %; el denominador es el valor anterior. (2) La línea del día más caro de la ficha no empezaba</w:t>
            </w:r>
            <w:r>
              <w:rPr>
                <w:sz w:val="16"/>
              </w:rPr>
              <w:t xml:space="preserve"> por f, así que Python imprimía las llaves {fecha_max.date()} en vez del número. (3) La fecha del mínimo de 2024 venía de una celda anterior que usaba idxmax, por lo que la ficha atribuía el mínimo de 28,56 % al 2024-01-01, cuando ese día estaba en 70,06 %</w:t>
            </w:r>
            <w:r/>
          </w:p>
        </w:tc>
        <w:tc>
          <w:tcPr>
            <w:tcBorders/>
            <w:tcW w:w="1580" w:type="dxa"/>
            <w:vAlign w:val="center"/>
          </w:tcPr>
          <w:p>
            <w:pPr>
              <w:pStyle w:val="721"/>
              <w:pBdr/>
              <w:spacing/>
              <w:ind/>
              <w:jc w:val="left"/>
              <w:rPr/>
            </w:pPr>
            <w:r>
              <w:rPr>
                <w:sz w:val="16"/>
              </w:rPr>
              <w:t xml:space="preserve">Corregido en las celdas 8.1 y 8.2 con la firma de Juan Diego Rubio y en la 4.2 con la de Anderson Silva. La ficha ya imprime «Mínimo de 2024: 28.6 % el 2024-04</w:t>
            </w:r>
            <w:r>
              <w:rPr>
                <w:sz w:val="16"/>
              </w:rPr>
              <w:t xml:space="preserve">-18» y las ✅ 8.1 y 8.2 quedan en verde. Cada cifra de la ficha se contrastó contra su celda de origen: el +219 % del precio contra la 5.2 y el +5,87 % de la variación interanual contra la 3.1. La conclusión 3-2-1 la redacta el COM a mano; la IA solo revisa</w:t>
            </w:r>
            <w:r/>
          </w:p>
        </w:tc>
      </w:tr>
    </w:tbl>
    <w:p>
      <w:pPr>
        <w:pStyle w:val="707"/>
        <w:pBdr/>
        <w:spacing w:after="0" w:before="0" w:line="120" w:lineRule="auto"/>
        <w:ind/>
        <w:rPr/>
      </w:pPr>
      <w:r/>
      <w:r/>
    </w:p>
    <w:p>
      <w:pPr>
        <w:pStyle w:val="717"/>
        <w:pBdr/>
        <w:spacing/>
        <w:ind/>
        <w:rPr/>
      </w:pPr>
      <w:r>
        <w:rPr>
          <w:sz w:val="18"/>
        </w:rPr>
        <w:t xml:space="preserve">Las 10 filas son prompts que se le hicieron a un asistente de IA y están verificados contra el código</w:t>
      </w:r>
      <w:r>
        <w:rPr>
          <w:sz w:val="18"/>
        </w:rPr>
        <w:t xml:space="preserve"> del cuaderno. Las filas 1, 4 y 9 se ejecutaron con Copilot y Gemini en VSCode y PyCharm; la fila 6, y las respuestas de las filas 3, 7, 8 y 10, se ejecutaron con </w:t>
      </w:r>
      <w:r>
        <w:rPr>
          <w:sz w:val="18"/>
        </w:rPr>
        <w:t xml:space="preserve">Copilot, Gemini · VSCode</w:t>
      </w:r>
      <w:r>
        <w:rPr>
          <w:sz w:val="18"/>
          <w:lang w:val="en-US"/>
        </w:rPr>
        <w:t xml:space="preserve"> </w:t>
      </w:r>
      <w:r>
        <w:rPr>
          <w:sz w:val="18"/>
        </w:rPr>
        <w:t xml:space="preserve">durante la consolidación del ING. Cada integrante debe anotar en la columna «Her</w:t>
      </w:r>
      <w:r>
        <w:rPr>
          <w:sz w:val="18"/>
        </w:rPr>
        <w:t xml:space="preserve">ramienta y modelo» el asistente y el modelo que usó él (Copilot, Gemini, ChatGPT, Claude…) y, en la fila 1, el diagnóstico que le dio su asistente. La fila 5 es la alucinación de la IA que la guía pide detectar y la fila 6 es el experimento de la Misión 8.</w:t>
      </w:r>
      <w:r/>
    </w:p>
    <w:p>
      <w:pPr>
        <w:pStyle w:val="708"/>
        <w:pBdr/>
        <w:spacing/>
        <w:ind/>
        <w:rPr/>
      </w:pPr>
      <w:r>
        <w:rPr>
          <w:sz w:val="28"/>
        </w:rPr>
        <w:t xml:space="preserve">Anexo B. Registro de errores corregidos</w:t>
      </w:r>
      <w:r/>
    </w:p>
    <w:p>
      <w:pPr>
        <w:pStyle w:val="707"/>
        <w:pBdr/>
        <w:spacing/>
        <w:ind/>
        <w:rPr/>
      </w:pPr>
      <w:r>
        <w:rPr>
          <w:sz w:val="22"/>
        </w:rPr>
        <w:t xml:space="preserve">Una fila por cada corrección del cuaderno, documentada en el código con un comentario # CORREGIDO firmado por su responsable. La tabla la genera el equipo a partir de esos comentarios y la revisa en la revisión cruzada.</w:t>
      </w:r>
      <w:r/>
    </w:p>
    <w:p>
      <w:pPr>
        <w:pStyle w:val="719"/>
        <w:pBdr/>
        <w:spacing/>
        <w:ind/>
        <w:rPr/>
      </w:pPr>
      <w:r>
        <w:rPr>
          <w:b/>
        </w:rPr>
        <w:t xml:space="preserve">Tabla B1.</w:t>
      </w:r>
      <w:r>
        <w:rPr>
          <w:i/>
        </w:rPr>
        <w:t xml:space="preserve">  Registro de errores corregidos</w:t>
      </w:r>
      <w:r/>
    </w:p>
    <w:tbl>
      <w:tblPr>
        <w:tblW w:w="5000" w:type="pct"/>
        <w:tblCellMar>
          <w:left w:w="60" w:type="dxa"/>
          <w:top w:w="32" w:type="dxa"/>
          <w:right w:w="60" w:type="dxa"/>
          <w:bottom w:w="32" w:type="dxa"/>
        </w:tblCellMar>
        <w:tblBorders>
          <w:top w:val="single" w:color="a8d08d" w:sz="4" w:space="0"/>
          <w:left w:val="single" w:color="a8d08d" w:sz="4" w:space="0"/>
          <w:bottom w:val="single" w:color="a8d08d" w:sz="4" w:space="0"/>
          <w:right w:val="single" w:color="a8d08d" w:sz="4" w:space="0"/>
          <w:insideH w:val="single" w:color="a8d08d" w:sz="4" w:space="0"/>
          <w:insideV w:val="single" w:color="a8d08d" w:sz="4" w:space="0"/>
        </w:tblBorders>
        <w:tblLayout w:type="fixed"/>
        <w:tblLook w:val="04A0" w:firstRow="1" w:lastRow="0" w:firstColumn="1" w:lastColumn="0" w:noHBand="0" w:noVBand="1"/>
      </w:tblPr>
      <w:tblGrid>
        <w:gridCol w:w="1500"/>
        <w:gridCol w:w="700"/>
        <w:gridCol w:w="1150"/>
        <w:gridCol w:w="2100"/>
        <w:gridCol w:w="1750"/>
        <w:gridCol w:w="1800"/>
      </w:tblGrid>
      <w:tr>
        <w:trPr>
          <w:cantSplit/>
          <w:tblHeader/>
        </w:trPr>
        <w:tc>
          <w:tcPr>
            <w:shd w:val="clear" w:color="auto" w:fill="e2efd9"/>
            <w:tcBorders/>
            <w:tcW w:w="1500" w:type="dxa"/>
            <w:vAlign w:val="center"/>
          </w:tcPr>
          <w:p>
            <w:pPr>
              <w:pStyle w:val="720"/>
              <w:pBdr/>
              <w:spacing/>
              <w:ind/>
              <w:jc w:val="center"/>
              <w:rPr/>
            </w:pPr>
            <w:r>
              <w:rPr>
                <w:b/>
                <w:sz w:val="16"/>
              </w:rPr>
              <w:t xml:space="preserve">Error</w:t>
            </w:r>
            <w:r/>
          </w:p>
        </w:tc>
        <w:tc>
          <w:tcPr>
            <w:shd w:val="clear" w:color="auto" w:fill="e2efd9"/>
            <w:tcBorders/>
            <w:tcW w:w="700" w:type="dxa"/>
            <w:vAlign w:val="center"/>
          </w:tcPr>
          <w:p>
            <w:pPr>
              <w:pStyle w:val="720"/>
              <w:pBdr/>
              <w:spacing/>
              <w:ind/>
              <w:jc w:val="center"/>
              <w:rPr/>
            </w:pPr>
            <w:r>
              <w:rPr>
                <w:b/>
                <w:sz w:val="16"/>
              </w:rPr>
              <w:t xml:space="preserve">Misión</w:t>
            </w:r>
            <w:r/>
          </w:p>
        </w:tc>
        <w:tc>
          <w:tcPr>
            <w:shd w:val="clear" w:color="auto" w:fill="e2efd9"/>
            <w:tcBorders/>
            <w:tcW w:w="1150" w:type="dxa"/>
            <w:vAlign w:val="center"/>
          </w:tcPr>
          <w:p>
            <w:pPr>
              <w:pStyle w:val="720"/>
              <w:pBdr/>
              <w:spacing/>
              <w:ind/>
              <w:jc w:val="center"/>
              <w:rPr/>
            </w:pPr>
            <w:r>
              <w:rPr>
                <w:b/>
                <w:sz w:val="16"/>
              </w:rPr>
              <w:t xml:space="preserve">Quién lo corrigió</w:t>
            </w:r>
            <w:r/>
          </w:p>
        </w:tc>
        <w:tc>
          <w:tcPr>
            <w:shd w:val="clear" w:color="auto" w:fill="e2efd9"/>
            <w:tcBorders/>
            <w:tcW w:w="2100" w:type="dxa"/>
            <w:vAlign w:val="center"/>
          </w:tcPr>
          <w:p>
            <w:pPr>
              <w:pStyle w:val="720"/>
              <w:pBdr/>
              <w:spacing/>
              <w:ind/>
              <w:jc w:val="center"/>
              <w:rPr/>
            </w:pPr>
            <w:r>
              <w:rPr>
                <w:b/>
                <w:sz w:val="16"/>
              </w:rPr>
              <w:t xml:space="preserve">Qué decía</w:t>
            </w:r>
            <w:r/>
          </w:p>
        </w:tc>
        <w:tc>
          <w:tcPr>
            <w:shd w:val="clear" w:color="auto" w:fill="e2efd9"/>
            <w:tcBorders/>
            <w:tcW w:w="1750" w:type="dxa"/>
            <w:vAlign w:val="center"/>
          </w:tcPr>
          <w:p>
            <w:pPr>
              <w:pStyle w:val="720"/>
              <w:pBdr/>
              <w:spacing/>
              <w:ind/>
              <w:jc w:val="center"/>
              <w:rPr/>
            </w:pPr>
            <w:r>
              <w:rPr>
                <w:b/>
                <w:sz w:val="16"/>
              </w:rPr>
              <w:t xml:space="preserve">Qué dice ahora</w:t>
            </w:r>
            <w:r/>
          </w:p>
        </w:tc>
        <w:tc>
          <w:tcPr>
            <w:shd w:val="clear" w:color="auto" w:fill="e2efd9"/>
            <w:tcBorders/>
            <w:tcW w:w="1800" w:type="dxa"/>
            <w:vAlign w:val="center"/>
          </w:tcPr>
          <w:p>
            <w:pPr>
              <w:pStyle w:val="720"/>
              <w:pBdr/>
              <w:spacing/>
              <w:ind/>
              <w:jc w:val="center"/>
              <w:rPr/>
            </w:pPr>
            <w:r>
              <w:rPr>
                <w:b/>
                <w:sz w:val="16"/>
              </w:rPr>
              <w:t xml:space="preserve">Cómo lo detectamos</w:t>
            </w:r>
            <w:r/>
          </w:p>
        </w:tc>
      </w:tr>
      <w:tr>
        <w:trPr/>
        <w:tc>
          <w:tcPr>
            <w:tcBorders/>
            <w:tcW w:w="1500" w:type="dxa"/>
            <w:vAlign w:val="center"/>
          </w:tcPr>
          <w:p>
            <w:pPr>
              <w:pStyle w:val="721"/>
              <w:pBdr/>
              <w:spacing/>
              <w:ind/>
              <w:jc w:val="left"/>
              <w:rPr/>
            </w:pPr>
            <w:r>
              <w:rPr>
                <w:sz w:val="16"/>
              </w:rPr>
              <w:t xml:space="preserve">El precio máximo venía como texto y rompía la división</w:t>
            </w:r>
            <w:r/>
          </w:p>
        </w:tc>
        <w:tc>
          <w:tcPr>
            <w:tcBorders/>
            <w:tcW w:w="700" w:type="dxa"/>
            <w:vAlign w:val="center"/>
          </w:tcPr>
          <w:p>
            <w:pPr>
              <w:pStyle w:val="721"/>
              <w:pBdr/>
              <w:spacing/>
              <w:ind/>
              <w:jc w:val="center"/>
              <w:rPr/>
            </w:pPr>
            <w:r>
              <w:rPr>
                <w:sz w:val="16"/>
              </w:rPr>
              <w:t xml:space="preserve">M0 · 0.3</w:t>
            </w:r>
            <w:r/>
          </w:p>
        </w:tc>
        <w:tc>
          <w:tcPr>
            <w:tcBorders/>
            <w:tcW w:w="1150" w:type="dxa"/>
            <w:vAlign w:val="center"/>
          </w:tcPr>
          <w:p>
            <w:pPr>
              <w:pStyle w:val="721"/>
              <w:pBdr/>
              <w:spacing/>
              <w:ind/>
              <w:jc w:val="left"/>
              <w:rPr/>
            </w:pPr>
            <w:r>
              <w:rPr>
                <w:sz w:val="16"/>
              </w:rPr>
              <w:t xml:space="preserve">Heriberto Valencia</w:t>
            </w:r>
            <w:r/>
          </w:p>
        </w:tc>
        <w:tc>
          <w:tcPr>
            <w:tcBorders/>
            <w:tcW w:w="2100" w:type="dxa"/>
            <w:vAlign w:val="center"/>
          </w:tcPr>
          <w:p>
            <w:pPr>
              <w:pStyle w:val="721"/>
              <w:pBdr/>
              <w:spacing/>
              <w:ind/>
              <w:jc w:val="left"/>
              <w:rPr/>
            </w:pPr>
            <w:r>
              <w:rPr>
                <w:sz w:val="16"/>
              </w:rPr>
              <w:t xml:space="preserve">precio_maximo_sep = "1513" → TypeError al dividir (un texto no se divide)</w:t>
            </w:r>
            <w:r/>
          </w:p>
        </w:tc>
        <w:tc>
          <w:tcPr>
            <w:tcBorders/>
            <w:tcW w:w="1750" w:type="dxa"/>
            <w:vAlign w:val="center"/>
          </w:tcPr>
          <w:p>
            <w:pPr>
              <w:pStyle w:val="721"/>
              <w:pBdr/>
              <w:spacing/>
              <w:ind/>
              <w:jc w:val="left"/>
              <w:rPr/>
            </w:pPr>
            <w:r>
              <w:rPr>
                <w:sz w:val="16"/>
              </w:rPr>
              <w:t xml:space="preserve">float("1513") → número decimal, la división funciona y da 6,0 veces</w:t>
            </w:r>
            <w:r/>
          </w:p>
        </w:tc>
        <w:tc>
          <w:tcPr>
            <w:tcBorders/>
            <w:tcW w:w="1800" w:type="dxa"/>
            <w:vAlign w:val="center"/>
          </w:tcPr>
          <w:p>
            <w:pPr>
              <w:pStyle w:val="721"/>
              <w:pBdr/>
              <w:spacing/>
              <w:ind/>
              <w:jc w:val="left"/>
              <w:rPr/>
            </w:pPr>
            <w:r>
              <w:rPr>
                <w:sz w:val="16"/>
              </w:rPr>
              <w:t xml:space="preserve">Mensaje rojo en la celda 0.3 (TypeError) y ✅ 0.1: «Una división necesita dos números»</w:t>
            </w:r>
            <w:r/>
          </w:p>
        </w:tc>
      </w:tr>
      <w:tr>
        <w:trPr/>
        <w:tc>
          <w:tcPr>
            <w:tcBorders/>
            <w:tcW w:w="1500" w:type="dxa"/>
            <w:vAlign w:val="center"/>
          </w:tcPr>
          <w:p>
            <w:pPr>
              <w:pStyle w:val="721"/>
              <w:pBdr/>
              <w:spacing/>
              <w:ind/>
              <w:jc w:val="left"/>
              <w:rPr/>
            </w:pPr>
            <w:r>
              <w:rPr>
                <w:sz w:val="16"/>
              </w:rPr>
              <w:t xml:space="preserve">La clave del diccionario de métricas XM estaba mal escrita</w:t>
            </w:r>
            <w:r/>
          </w:p>
        </w:tc>
        <w:tc>
          <w:tcPr>
            <w:tcBorders/>
            <w:tcW w:w="700" w:type="dxa"/>
            <w:vAlign w:val="center"/>
          </w:tcPr>
          <w:p>
            <w:pPr>
              <w:pStyle w:val="721"/>
              <w:pBdr/>
              <w:spacing/>
              <w:ind/>
              <w:jc w:val="center"/>
              <w:rPr/>
            </w:pPr>
            <w:r>
              <w:rPr>
                <w:sz w:val="16"/>
              </w:rPr>
              <w:t xml:space="preserve">M0 · 0.3</w:t>
            </w:r>
            <w:r/>
          </w:p>
        </w:tc>
        <w:tc>
          <w:tcPr>
            <w:tcBorders/>
            <w:tcW w:w="1150" w:type="dxa"/>
            <w:vAlign w:val="center"/>
          </w:tcPr>
          <w:p>
            <w:pPr>
              <w:pStyle w:val="721"/>
              <w:pBdr/>
              <w:spacing/>
              <w:ind/>
              <w:jc w:val="left"/>
              <w:rPr/>
            </w:pPr>
            <w:r>
              <w:rPr>
                <w:sz w:val="16"/>
              </w:rPr>
              <w:t xml:space="preserve">Heriberto Valencia</w:t>
            </w:r>
            <w:r/>
          </w:p>
        </w:tc>
        <w:tc>
          <w:tcPr>
            <w:tcBorders/>
            <w:tcW w:w="2100" w:type="dxa"/>
            <w:vAlign w:val="center"/>
          </w:tcPr>
          <w:p>
            <w:pPr>
              <w:pStyle w:val="721"/>
              <w:pBdr/>
              <w:spacing/>
              <w:ind/>
              <w:jc w:val="left"/>
              <w:rPr/>
            </w:pPr>
            <w:r>
              <w:rPr>
                <w:sz w:val="16"/>
              </w:rPr>
              <w:t xml:space="preserve">metricas_xm["Precio"] → KeyError: 'Precio'</w:t>
            </w:r>
            <w:r/>
          </w:p>
        </w:tc>
        <w:tc>
          <w:tcPr>
            <w:tcBorders/>
            <w:tcW w:w="1750" w:type="dxa"/>
            <w:vAlign w:val="center"/>
          </w:tcPr>
          <w:p>
            <w:pPr>
              <w:pStyle w:val="721"/>
              <w:pBdr/>
              <w:spacing/>
              <w:ind/>
              <w:jc w:val="left"/>
              <w:rPr/>
            </w:pPr>
            <w:r>
              <w:rPr>
                <w:sz w:val="16"/>
              </w:rPr>
              <w:t xml:space="preserve">metricas_xm["precio"] → devuelve "PrecBolsNaci"</w:t>
            </w:r>
            <w:r/>
          </w:p>
        </w:tc>
        <w:tc>
          <w:tcPr>
            <w:tcBorders/>
            <w:tcW w:w="1800" w:type="dxa"/>
            <w:vAlign w:val="center"/>
          </w:tcPr>
          <w:p>
            <w:pPr>
              <w:pStyle w:val="721"/>
              <w:pBdr/>
              <w:spacing/>
              <w:ind/>
              <w:jc w:val="left"/>
              <w:rPr/>
            </w:pPr>
            <w:r>
              <w:rPr>
                <w:sz w:val="16"/>
              </w:rPr>
              <w:t xml:space="preserve">Mensaje rojo en la celda 0.3 (KeyError) y ✅ 0.2: «Compare, letra por letra, la clave que pide con las claves que existen en el diccionario»</w:t>
            </w:r>
            <w:r/>
          </w:p>
        </w:tc>
      </w:tr>
      <w:tr>
        <w:trPr/>
        <w:tc>
          <w:tcPr>
            <w:tcBorders/>
            <w:tcW w:w="1500" w:type="dxa"/>
            <w:vAlign w:val="center"/>
          </w:tcPr>
          <w:p>
            <w:pPr>
              <w:pStyle w:val="721"/>
              <w:pBdr/>
              <w:spacing/>
              <w:ind/>
              <w:jc w:val="left"/>
              <w:rPr/>
            </w:pPr>
            <w:r>
              <w:rPr>
                <w:sz w:val="16"/>
              </w:rPr>
              <w:t xml:space="preserve">Calendario esperado con frecuencia semanal (freq="W")</w:t>
            </w:r>
            <w:r/>
          </w:p>
        </w:tc>
        <w:tc>
          <w:tcPr>
            <w:tcBorders/>
            <w:tcW w:w="700" w:type="dxa"/>
            <w:vAlign w:val="center"/>
          </w:tcPr>
          <w:p>
            <w:pPr>
              <w:pStyle w:val="721"/>
              <w:pBdr/>
              <w:spacing/>
              <w:ind/>
              <w:jc w:val="center"/>
              <w:rPr/>
            </w:pPr>
            <w:r>
              <w:rPr>
                <w:sz w:val="16"/>
              </w:rPr>
              <w:t xml:space="preserve">M1 · 1.1</w:t>
            </w:r>
            <w:r/>
          </w:p>
        </w:tc>
        <w:tc>
          <w:tcPr>
            <w:tcBorders/>
            <w:tcW w:w="1150" w:type="dxa"/>
            <w:vAlign w:val="center"/>
          </w:tcPr>
          <w:p>
            <w:pPr>
              <w:pStyle w:val="721"/>
              <w:pBdr/>
              <w:spacing/>
              <w:ind/>
              <w:jc w:val="left"/>
              <w:rPr/>
            </w:pPr>
            <w:r>
              <w:rPr>
                <w:sz w:val="16"/>
              </w:rPr>
              <w:t xml:space="preserve">Liz Blanco</w:t>
            </w:r>
            <w:r/>
          </w:p>
        </w:tc>
        <w:tc>
          <w:tcPr>
            <w:tcBorders/>
            <w:tcW w:w="2100" w:type="dxa"/>
            <w:vAlign w:val="center"/>
          </w:tcPr>
          <w:p>
            <w:pPr>
              <w:pStyle w:val="721"/>
              <w:pBdr/>
              <w:spacing/>
              <w:ind/>
              <w:jc w:val="left"/>
              <w:rPr/>
            </w:pPr>
            <w:r>
              <w:rPr>
                <w:sz w:val="16"/>
              </w:rPr>
              <w:t xml:space="preserve">pd.date_range(..., freq="W") → 251 días esperados, menos que las 1.758 filas de la tabla</w:t>
            </w:r>
            <w:r/>
          </w:p>
        </w:tc>
        <w:tc>
          <w:tcPr>
            <w:tcBorders/>
            <w:tcW w:w="1750" w:type="dxa"/>
            <w:vAlign w:val="center"/>
          </w:tcPr>
          <w:p>
            <w:pPr>
              <w:pStyle w:val="721"/>
              <w:pBdr/>
              <w:spacing/>
              <w:ind/>
              <w:jc w:val="left"/>
              <w:rPr/>
            </w:pPr>
            <w:r>
              <w:rPr>
                <w:sz w:val="16"/>
              </w:rPr>
              <w:t xml:space="preserve">pd.date_range(..., freq="D") → 1.758 días esperados y 0 días faltantes</w:t>
            </w:r>
            <w:r/>
          </w:p>
        </w:tc>
        <w:tc>
          <w:tcPr>
            <w:tcBorders/>
            <w:tcW w:w="1800" w:type="dxa"/>
            <w:vAlign w:val="center"/>
          </w:tcPr>
          <w:p>
            <w:pPr>
              <w:pStyle w:val="721"/>
              <w:pBdr/>
              <w:spacing/>
              <w:ind/>
              <w:jc w:val="left"/>
              <w:rPr/>
            </w:pPr>
            <w:r>
              <w:rPr>
                <w:sz w:val="16"/>
              </w:rPr>
              <w:t xml:space="preserve">✅ 1.2 en rojo: «Un calendario completo no puede tener menos días que filas tiene la tabla. Revise la frecuencia.»</w:t>
            </w:r>
            <w:r/>
          </w:p>
        </w:tc>
      </w:tr>
      <w:tr>
        <w:trPr/>
        <w:tc>
          <w:tcPr>
            <w:tcBorders/>
            <w:tcW w:w="1500" w:type="dxa"/>
            <w:vAlign w:val="center"/>
          </w:tcPr>
          <w:p>
            <w:pPr>
              <w:pStyle w:val="721"/>
              <w:pBdr/>
              <w:spacing/>
              <w:ind/>
              <w:jc w:val="left"/>
              <w:rPr/>
            </w:pPr>
            <w:r>
              <w:rPr>
                <w:sz w:val="16"/>
              </w:rPr>
              <w:t xml:space="preserve">Conteo de faltantes impreso como método (df.isna().sum sin paréntesis)</w:t>
            </w:r>
            <w:r/>
          </w:p>
        </w:tc>
        <w:tc>
          <w:tcPr>
            <w:tcBorders/>
            <w:tcW w:w="700" w:type="dxa"/>
            <w:vAlign w:val="center"/>
          </w:tcPr>
          <w:p>
            <w:pPr>
              <w:pStyle w:val="721"/>
              <w:pBdr/>
              <w:spacing/>
              <w:ind/>
              <w:jc w:val="center"/>
              <w:rPr/>
            </w:pPr>
            <w:r>
              <w:rPr>
                <w:sz w:val="16"/>
              </w:rPr>
              <w:t xml:space="preserve">M1 · 1.1</w:t>
            </w:r>
            <w:r/>
          </w:p>
        </w:tc>
        <w:tc>
          <w:tcPr>
            <w:tcBorders/>
            <w:tcW w:w="1150" w:type="dxa"/>
            <w:vAlign w:val="center"/>
          </w:tcPr>
          <w:p>
            <w:pPr>
              <w:pStyle w:val="721"/>
              <w:pBdr/>
              <w:spacing/>
              <w:ind/>
              <w:jc w:val="left"/>
              <w:rPr/>
            </w:pPr>
            <w:r>
              <w:rPr>
                <w:sz w:val="16"/>
              </w:rPr>
              <w:t xml:space="preserve">Liz Blanco</w:t>
            </w:r>
            <w:r/>
          </w:p>
        </w:tc>
        <w:tc>
          <w:tcPr>
            <w:tcBorders/>
            <w:tcW w:w="2100" w:type="dxa"/>
            <w:vAlign w:val="center"/>
          </w:tcPr>
          <w:p>
            <w:pPr>
              <w:pStyle w:val="721"/>
              <w:pBdr/>
              <w:spacing/>
              <w:ind/>
              <w:jc w:val="left"/>
              <w:rPr/>
            </w:pPr>
            <w:r>
              <w:rPr>
                <w:sz w:val="16"/>
              </w:rPr>
              <w:t xml:space="preserve">nulos = tabla.isna().sum → imprimía &lt;bound method DataFrame.sum ...&gt; (la tabla booleana de 1.758 × 5) en vez del conteo</w:t>
            </w:r>
            <w:r/>
          </w:p>
        </w:tc>
        <w:tc>
          <w:tcPr>
            <w:tcBorders/>
            <w:tcW w:w="1750" w:type="dxa"/>
            <w:vAlign w:val="center"/>
          </w:tcPr>
          <w:p>
            <w:pPr>
              <w:pStyle w:val="721"/>
              <w:pBdr/>
              <w:spacing/>
              <w:ind/>
              <w:jc w:val="left"/>
              <w:rPr/>
            </w:pPr>
            <w:r>
              <w:rPr>
                <w:sz w:val="16"/>
              </w:rPr>
              <w:t xml:space="preserve">nulos = tabla.isna().sum() → tabla con el conteo por columna (demanda 2, precio 2, volumen 0, capacidad 0, embalse 0)</w:t>
            </w:r>
            <w:r/>
          </w:p>
        </w:tc>
        <w:tc>
          <w:tcPr>
            <w:tcBorders/>
            <w:tcW w:w="1800" w:type="dxa"/>
            <w:vAlign w:val="center"/>
          </w:tcPr>
          <w:p>
            <w:pPr>
              <w:pStyle w:val="721"/>
              <w:pBdr/>
              <w:spacing/>
              <w:ind/>
              <w:jc w:val="left"/>
              <w:rPr/>
            </w:pPr>
            <w:r>
              <w:rPr>
                <w:sz w:val="16"/>
              </w:rPr>
              <w:t xml:space="preserve">✅ 1.1 en rojo: «El conteo de faltantes es una tabla, no un método»</w:t>
            </w:r>
            <w:r/>
          </w:p>
        </w:tc>
      </w:tr>
      <w:tr>
        <w:trPr/>
        <w:tc>
          <w:tcPr>
            <w:tcBorders/>
            <w:tcW w:w="1500" w:type="dxa"/>
            <w:vAlign w:val="center"/>
          </w:tcPr>
          <w:p>
            <w:pPr>
              <w:pStyle w:val="721"/>
              <w:pBdr/>
              <w:spacing/>
              <w:ind/>
              <w:jc w:val="left"/>
              <w:rPr/>
            </w:pPr>
            <w:r>
              <w:rPr>
                <w:sz w:val="16"/>
              </w:rPr>
              <w:t xml:space="preserve">La limpieza se cortaba en la primera fecha con dato (min en vez de max)</w:t>
            </w:r>
            <w:r/>
          </w:p>
        </w:tc>
        <w:tc>
          <w:tcPr>
            <w:tcBorders/>
            <w:tcW w:w="700" w:type="dxa"/>
            <w:vAlign w:val="center"/>
          </w:tcPr>
          <w:p>
            <w:pPr>
              <w:pStyle w:val="721"/>
              <w:pBdr/>
              <w:spacing/>
              <w:ind/>
              <w:jc w:val="center"/>
              <w:rPr/>
            </w:pPr>
            <w:r>
              <w:rPr>
                <w:sz w:val="16"/>
              </w:rPr>
              <w:t xml:space="preserve">M1 · 1.2</w:t>
            </w:r>
            <w:r/>
          </w:p>
        </w:tc>
        <w:tc>
          <w:tcPr>
            <w:tcBorders/>
            <w:tcW w:w="1150" w:type="dxa"/>
            <w:vAlign w:val="center"/>
          </w:tcPr>
          <w:p>
            <w:pPr>
              <w:pStyle w:val="721"/>
              <w:pBdr/>
              <w:spacing/>
              <w:ind/>
              <w:jc w:val="left"/>
              <w:rPr/>
            </w:pPr>
            <w:r>
              <w:rPr>
                <w:sz w:val="16"/>
              </w:rPr>
              <w:t xml:space="preserve">Liz Blanco</w:t>
            </w:r>
            <w:r/>
          </w:p>
        </w:tc>
        <w:tc>
          <w:tcPr>
            <w:tcBorders/>
            <w:tcW w:w="2100" w:type="dxa"/>
            <w:vAlign w:val="center"/>
          </w:tcPr>
          <w:p>
            <w:pPr>
              <w:pStyle w:val="721"/>
              <w:pBdr/>
              <w:spacing/>
              <w:ind/>
              <w:jc w:val="left"/>
              <w:rPr/>
            </w:pPr>
            <w:r>
              <w:rPr>
                <w:sz w:val="16"/>
              </w:rPr>
              <w:t xml:space="preserve">df.dropna().index.min() → df_limpio quedaba con 1 sola fila (2022-01-01) y rompía las misiones siguientes</w:t>
            </w:r>
            <w:r/>
          </w:p>
        </w:tc>
        <w:tc>
          <w:tcPr>
            <w:tcBorders/>
            <w:tcW w:w="1750" w:type="dxa"/>
            <w:vAlign w:val="center"/>
          </w:tcPr>
          <w:p>
            <w:pPr>
              <w:pStyle w:val="721"/>
              <w:pBdr/>
              <w:spacing/>
              <w:ind/>
              <w:jc w:val="left"/>
              <w:rPr/>
            </w:pPr>
            <w:r>
              <w:rPr>
                <w:sz w:val="16"/>
              </w:rPr>
              <w:t xml:space="preserve">df.dropna().index.max() → df_limpio con 1.756 filas, hasta la última fecha completa (2026-10-22)</w:t>
            </w:r>
            <w:r/>
          </w:p>
        </w:tc>
        <w:tc>
          <w:tcPr>
            <w:tcBorders/>
            <w:tcW w:w="1800" w:type="dxa"/>
            <w:vAlign w:val="center"/>
          </w:tcPr>
          <w:p>
            <w:pPr>
              <w:pStyle w:val="721"/>
              <w:pBdr/>
              <w:spacing/>
              <w:ind/>
              <w:jc w:val="left"/>
              <w:rPr/>
            </w:pPr>
            <w:r>
              <w:rPr>
                <w:sz w:val="16"/>
              </w:rPr>
              <w:t xml:space="preserve">✅ 1.3 en rojo: «Después de limpiar deberían quedar casi todas las filas. ¿Hasta qué fecha se está cortando?»</w:t>
            </w:r>
            <w:r/>
          </w:p>
        </w:tc>
      </w:tr>
      <w:tr>
        <w:trPr/>
        <w:tc>
          <w:tcPr>
            <w:tcBorders/>
            <w:tcW w:w="1500" w:type="dxa"/>
            <w:vAlign w:val="center"/>
          </w:tcPr>
          <w:p>
            <w:pPr>
              <w:pStyle w:val="721"/>
              <w:pBdr/>
              <w:spacing/>
              <w:ind/>
              <w:jc w:val="left"/>
              <w:rPr/>
            </w:pPr>
            <w:r>
              <w:rPr>
                <w:sz w:val="16"/>
              </w:rPr>
              <w:t xml:space="preserve">Las dos líneas de promedio móvil usaban la misma ventana</w:t>
            </w:r>
            <w:r/>
          </w:p>
        </w:tc>
        <w:tc>
          <w:tcPr>
            <w:tcBorders/>
            <w:tcW w:w="700" w:type="dxa"/>
            <w:vAlign w:val="center"/>
          </w:tcPr>
          <w:p>
            <w:pPr>
              <w:pStyle w:val="721"/>
              <w:pBdr/>
              <w:spacing/>
              <w:ind/>
              <w:jc w:val="center"/>
              <w:rPr/>
            </w:pPr>
            <w:r>
              <w:rPr>
                <w:sz w:val="16"/>
              </w:rPr>
              <w:t xml:space="preserve">M2 · 2.1</w:t>
            </w:r>
            <w:r/>
          </w:p>
        </w:tc>
        <w:tc>
          <w:tcPr>
            <w:tcBorders/>
            <w:tcW w:w="1150" w:type="dxa"/>
            <w:vAlign w:val="center"/>
          </w:tcPr>
          <w:p>
            <w:pPr>
              <w:pStyle w:val="721"/>
              <w:pBdr/>
              <w:spacing/>
              <w:ind/>
              <w:jc w:val="left"/>
              <w:rPr/>
            </w:pPr>
            <w:r>
              <w:rPr>
                <w:sz w:val="16"/>
              </w:rPr>
              <w:t xml:space="preserve">Lina Bastidas</w:t>
            </w:r>
            <w:r/>
          </w:p>
        </w:tc>
        <w:tc>
          <w:tcPr>
            <w:tcBorders/>
            <w:tcW w:w="2100" w:type="dxa"/>
            <w:vAlign w:val="center"/>
          </w:tcPr>
          <w:p>
            <w:pPr>
              <w:pStyle w:val="721"/>
              <w:pBdr/>
              <w:spacing/>
              <w:ind/>
              <w:jc w:val="left"/>
              <w:rPr/>
            </w:pPr>
            <w:r>
              <w:rPr>
                <w:sz w:val="16"/>
              </w:rPr>
              <w:t xml:space="preserve">media_30 = demanda.rolling(window=7).mean() → la línea roja era la azul y la tendencia no se veía</w:t>
            </w:r>
            <w:r/>
          </w:p>
        </w:tc>
        <w:tc>
          <w:tcPr>
            <w:tcBorders/>
            <w:tcW w:w="1750" w:type="dxa"/>
            <w:vAlign w:val="center"/>
          </w:tcPr>
          <w:p>
            <w:pPr>
              <w:pStyle w:val="721"/>
              <w:pBdr/>
              <w:spacing/>
              <w:ind/>
              <w:jc w:val="left"/>
              <w:rPr/>
            </w:pPr>
            <w:r>
              <w:rPr>
                <w:sz w:val="16"/>
              </w:rPr>
              <w:t xml:space="preserve">rolling(window=30) → el promedio de 30 días separa la tendencia del patrón semanal</w:t>
            </w:r>
            <w:r/>
          </w:p>
        </w:tc>
        <w:tc>
          <w:tcPr>
            <w:tcBorders/>
            <w:tcW w:w="1800" w:type="dxa"/>
            <w:vAlign w:val="center"/>
          </w:tcPr>
          <w:p>
            <w:pPr>
              <w:pStyle w:val="721"/>
              <w:pBdr/>
              <w:spacing/>
              <w:ind/>
              <w:jc w:val="left"/>
              <w:rPr/>
            </w:pPr>
            <w:r>
              <w:rPr>
                <w:sz w:val="16"/>
              </w:rPr>
              <w:t xml:space="preserve">✅ 2.1 en rojo: «Promedio de 30 días distinto al de 7»</w:t>
            </w:r>
            <w:r/>
          </w:p>
        </w:tc>
      </w:tr>
      <w:tr>
        <w:trPr/>
        <w:tc>
          <w:tcPr>
            <w:tcBorders/>
            <w:tcW w:w="1500" w:type="dxa"/>
            <w:vAlign w:val="center"/>
          </w:tcPr>
          <w:p>
            <w:pPr>
              <w:pStyle w:val="721"/>
              <w:pBdr/>
              <w:spacing/>
              <w:ind/>
              <w:jc w:val="left"/>
              <w:rPr/>
            </w:pPr>
            <w:r>
              <w:rPr>
                <w:sz w:val="16"/>
              </w:rPr>
              <w:t xml:space="preserve">El diccionario de días empezaba en 1 y corría todas las etiquetas</w:t>
            </w:r>
            <w:r/>
          </w:p>
        </w:tc>
        <w:tc>
          <w:tcPr>
            <w:tcBorders/>
            <w:tcW w:w="700" w:type="dxa"/>
            <w:vAlign w:val="center"/>
          </w:tcPr>
          <w:p>
            <w:pPr>
              <w:pStyle w:val="721"/>
              <w:pBdr/>
              <w:spacing/>
              <w:ind/>
              <w:jc w:val="center"/>
              <w:rPr/>
            </w:pPr>
            <w:r>
              <w:rPr>
                <w:sz w:val="16"/>
              </w:rPr>
              <w:t xml:space="preserve">M2 · 2.2</w:t>
            </w:r>
            <w:r/>
          </w:p>
        </w:tc>
        <w:tc>
          <w:tcPr>
            <w:tcBorders/>
            <w:tcW w:w="1150" w:type="dxa"/>
            <w:vAlign w:val="center"/>
          </w:tcPr>
          <w:p>
            <w:pPr>
              <w:pStyle w:val="721"/>
              <w:pBdr/>
              <w:spacing/>
              <w:ind/>
              <w:jc w:val="left"/>
              <w:rPr/>
            </w:pPr>
            <w:r>
              <w:rPr>
                <w:sz w:val="16"/>
              </w:rPr>
              <w:t xml:space="preserve">Lina Bastidas</w:t>
            </w:r>
            <w:r/>
          </w:p>
        </w:tc>
        <w:tc>
          <w:tcPr>
            <w:tcBorders/>
            <w:tcW w:w="2100" w:type="dxa"/>
            <w:vAlign w:val="center"/>
          </w:tcPr>
          <w:p>
            <w:pPr>
              <w:pStyle w:val="721"/>
              <w:pBdr/>
              <w:spacing/>
              <w:ind/>
              <w:jc w:val="left"/>
              <w:rPr/>
            </w:pPr>
            <w:r>
              <w:rPr>
                <w:sz w:val="16"/>
              </w:rPr>
              <w:t xml:space="preserve">nombres_dias = {1: "Lunes", …, 7: "Domingo"} → el lunes quedaba sin nombre y el domingo real (203,90 GWh, el mínimo) se rotulaba «Sábado»</w:t>
            </w:r>
            <w:r/>
          </w:p>
        </w:tc>
        <w:tc>
          <w:tcPr>
            <w:tcBorders/>
            <w:tcW w:w="1750" w:type="dxa"/>
            <w:vAlign w:val="center"/>
          </w:tcPr>
          <w:p>
            <w:pPr>
              <w:pStyle w:val="721"/>
              <w:pBdr/>
              <w:spacing/>
              <w:ind/>
              <w:jc w:val="left"/>
              <w:rPr/>
            </w:pPr>
            <w:r>
              <w:rPr>
                <w:sz w:val="16"/>
              </w:rPr>
              <w:t xml:space="preserve">{0: "Lunes", …, 6: "Domingo"} → los siete días con nombre y en orden; el mínimo real es el domingo</w:t>
            </w:r>
            <w:r/>
          </w:p>
        </w:tc>
        <w:tc>
          <w:tcPr>
            <w:tcBorders/>
            <w:tcW w:w="1800" w:type="dxa"/>
            <w:vAlign w:val="center"/>
          </w:tcPr>
          <w:p>
            <w:pPr>
              <w:pStyle w:val="721"/>
              <w:pBdr/>
              <w:spacing/>
              <w:ind/>
              <w:jc w:val="left"/>
              <w:rPr/>
            </w:pPr>
            <w:r>
              <w:rPr>
                <w:sz w:val="16"/>
              </w:rPr>
              <w:t xml:space="preserve">✅ 2.2 en rojo: «Siete días con nombre, de lunes a domingo» y ✅ 2.3 en rojo: «Día de menor demanda coherente»</w:t>
            </w:r>
            <w:r/>
          </w:p>
        </w:tc>
      </w:tr>
      <w:tr>
        <w:trPr/>
        <w:tc>
          <w:tcPr>
            <w:tcBorders/>
            <w:tcW w:w="1500" w:type="dxa"/>
            <w:vAlign w:val="center"/>
          </w:tcPr>
          <w:p>
            <w:pPr>
              <w:pStyle w:val="721"/>
              <w:pBdr/>
              <w:spacing/>
              <w:ind/>
              <w:jc w:val="left"/>
              <w:rPr/>
            </w:pPr>
            <w:r>
              <w:rPr>
                <w:sz w:val="16"/>
              </w:rPr>
              <w:t xml:space="preserve">El mes a medias no se excluía (condicional invertido)</w:t>
            </w:r>
            <w:r/>
          </w:p>
        </w:tc>
        <w:tc>
          <w:tcPr>
            <w:tcBorders/>
            <w:tcW w:w="700" w:type="dxa"/>
            <w:vAlign w:val="center"/>
          </w:tcPr>
          <w:p>
            <w:pPr>
              <w:pStyle w:val="721"/>
              <w:pBdr/>
              <w:spacing/>
              <w:ind/>
              <w:jc w:val="center"/>
              <w:rPr/>
            </w:pPr>
            <w:r>
              <w:rPr>
                <w:sz w:val="16"/>
              </w:rPr>
              <w:t xml:space="preserve">M3 · 3.1</w:t>
            </w:r>
            <w:r/>
          </w:p>
        </w:tc>
        <w:tc>
          <w:tcPr>
            <w:tcBorders/>
            <w:tcW w:w="1150" w:type="dxa"/>
            <w:vAlign w:val="center"/>
          </w:tcPr>
          <w:p>
            <w:pPr>
              <w:pStyle w:val="721"/>
              <w:pBdr/>
              <w:spacing/>
              <w:ind/>
              <w:jc w:val="left"/>
              <w:rPr/>
            </w:pPr>
            <w:r>
              <w:rPr>
                <w:sz w:val="16"/>
              </w:rPr>
              <w:t xml:space="preserve">Heriberto Valencia</w:t>
            </w:r>
            <w:r/>
          </w:p>
        </w:tc>
        <w:tc>
          <w:tcPr>
            <w:tcBorders/>
            <w:tcW w:w="2100" w:type="dxa"/>
            <w:vAlign w:val="center"/>
          </w:tcPr>
          <w:p>
            <w:pPr>
              <w:pStyle w:val="721"/>
              <w:pBdr/>
              <w:spacing/>
              <w:ind/>
              <w:jc w:val="left"/>
              <w:rPr/>
            </w:pPr>
            <w:r>
              <w:rPr>
                <w:sz w:val="16"/>
              </w:rPr>
              <w:t xml:space="preserve">if ultimo_dia.day &gt; ultimo_dia.days_in_month: → con 22 días de octubre de 2026 el mes se declaraba «completo» y quedaba en la serie</w:t>
            </w:r>
            <w:r/>
          </w:p>
        </w:tc>
        <w:tc>
          <w:tcPr>
            <w:tcBorders/>
            <w:tcW w:w="1750" w:type="dxa"/>
            <w:vAlign w:val="center"/>
          </w:tcPr>
          <w:p>
            <w:pPr>
              <w:pStyle w:val="721"/>
              <w:pBdr/>
              <w:spacing/>
              <w:ind/>
              <w:jc w:val="left"/>
              <w:rPr/>
            </w:pPr>
            <w:r>
              <w:rPr>
                <w:sz w:val="16"/>
              </w:rPr>
              <w:t xml:space="preserve">if ultimo_dia.day &lt; ultimo_dia.days_in_month: → se excluye 2026-10 (22 días de datos)</w:t>
            </w:r>
            <w:r/>
          </w:p>
        </w:tc>
        <w:tc>
          <w:tcPr>
            <w:tcBorders/>
            <w:tcW w:w="1800" w:type="dxa"/>
            <w:vAlign w:val="center"/>
          </w:tcPr>
          <w:p>
            <w:pPr>
              <w:pStyle w:val="721"/>
              <w:pBdr/>
              <w:spacing/>
              <w:ind/>
              <w:jc w:val="left"/>
              <w:rPr/>
            </w:pPr>
            <w:r>
              <w:rPr>
                <w:sz w:val="16"/>
              </w:rPr>
              <w:t xml:space="preserve">✅ 3.2 en rojo: «El último mes de 'mensual' no debería ser un mes a medias»</w:t>
            </w:r>
            <w:r/>
          </w:p>
        </w:tc>
      </w:tr>
      <w:tr>
        <w:trPr/>
        <w:tc>
          <w:tcPr>
            <w:tcBorders/>
            <w:tcW w:w="1500" w:type="dxa"/>
            <w:vAlign w:val="center"/>
          </w:tcPr>
          <w:p>
            <w:pPr>
              <w:pStyle w:val="721"/>
              <w:pBdr/>
              <w:spacing/>
              <w:ind/>
              <w:jc w:val="left"/>
              <w:rPr/>
            </w:pPr>
            <w:r>
              <w:rPr>
                <w:sz w:val="16"/>
              </w:rPr>
              <w:t xml:space="preserve">La energía mensual se promediaba en vez de sumarse</w:t>
            </w:r>
            <w:r/>
          </w:p>
        </w:tc>
        <w:tc>
          <w:tcPr>
            <w:tcBorders/>
            <w:tcW w:w="700" w:type="dxa"/>
            <w:vAlign w:val="center"/>
          </w:tcPr>
          <w:p>
            <w:pPr>
              <w:pStyle w:val="721"/>
              <w:pBdr/>
              <w:spacing/>
              <w:ind/>
              <w:jc w:val="center"/>
              <w:rPr/>
            </w:pPr>
            <w:r>
              <w:rPr>
                <w:sz w:val="16"/>
              </w:rPr>
              <w:t xml:space="preserve">M3 · 3.1</w:t>
            </w:r>
            <w:r/>
          </w:p>
        </w:tc>
        <w:tc>
          <w:tcPr>
            <w:tcBorders/>
            <w:tcW w:w="1150" w:type="dxa"/>
            <w:vAlign w:val="center"/>
          </w:tcPr>
          <w:p>
            <w:pPr>
              <w:pStyle w:val="721"/>
              <w:pBdr/>
              <w:spacing/>
              <w:ind/>
              <w:jc w:val="left"/>
              <w:rPr/>
            </w:pPr>
            <w:r>
              <w:rPr>
                <w:sz w:val="16"/>
              </w:rPr>
              <w:t xml:space="preserve">Heriberto Valencia</w:t>
            </w:r>
            <w:r/>
          </w:p>
        </w:tc>
        <w:tc>
          <w:tcPr>
            <w:tcBorders/>
            <w:tcW w:w="2100" w:type="dxa"/>
            <w:vAlign w:val="center"/>
          </w:tcPr>
          <w:p>
            <w:pPr>
              <w:pStyle w:val="721"/>
              <w:pBdr/>
              <w:spacing/>
              <w:ind/>
              <w:jc w:val="left"/>
              <w:rPr/>
            </w:pPr>
            <w:r>
              <w:rPr>
                <w:sz w:val="16"/>
              </w:rPr>
              <w:t xml:space="preserve">resample("MS").mean() → el mes valía lo mismo que un día (~230 GWh)</w:t>
            </w:r>
            <w:r/>
          </w:p>
        </w:tc>
        <w:tc>
          <w:tcPr>
            <w:tcBorders/>
            <w:tcW w:w="1750" w:type="dxa"/>
            <w:vAlign w:val="center"/>
          </w:tcPr>
          <w:p>
            <w:pPr>
              <w:pStyle w:val="721"/>
              <w:pBdr/>
              <w:spacing/>
              <w:ind/>
              <w:jc w:val="left"/>
              <w:rPr/>
            </w:pPr>
            <w:r>
              <w:rPr>
                <w:sz w:val="16"/>
              </w:rPr>
              <w:t xml:space="preserve">resample("MS").sum() → el mes va de 6.700 a 8.100 GWh</w:t>
            </w:r>
            <w:r/>
          </w:p>
        </w:tc>
        <w:tc>
          <w:tcPr>
            <w:tcBorders/>
            <w:tcW w:w="1800" w:type="dxa"/>
            <w:vAlign w:val="center"/>
          </w:tcPr>
          <w:p>
            <w:pPr>
              <w:pStyle w:val="721"/>
              <w:pBdr/>
              <w:spacing/>
              <w:ind/>
              <w:jc w:val="left"/>
              <w:rPr/>
            </w:pPr>
            <w:r>
              <w:rPr>
                <w:sz w:val="16"/>
              </w:rPr>
              <w:t xml:space="preserve">✅ 3.1 en rojo: «¿Qué orden de magnitud debe tener la energía de un MES si un día ronda 230 GWh?»</w:t>
            </w:r>
            <w:r/>
          </w:p>
        </w:tc>
      </w:tr>
      <w:tr>
        <w:trPr/>
        <w:tc>
          <w:tcPr>
            <w:tcBorders/>
            <w:tcW w:w="1500" w:type="dxa"/>
            <w:vAlign w:val="center"/>
          </w:tcPr>
          <w:p>
            <w:pPr>
              <w:pStyle w:val="721"/>
              <w:pBdr/>
              <w:spacing/>
              <w:ind/>
              <w:jc w:val="left"/>
              <w:rPr/>
            </w:pPr>
            <w:r>
              <w:rPr>
                <w:sz w:val="16"/>
              </w:rPr>
              <w:t xml:space="preserve">La variación era mes contra mes, no contra el mismo mes del año anterior</w:t>
            </w:r>
            <w:r/>
          </w:p>
        </w:tc>
        <w:tc>
          <w:tcPr>
            <w:tcBorders/>
            <w:tcW w:w="700" w:type="dxa"/>
            <w:vAlign w:val="center"/>
          </w:tcPr>
          <w:p>
            <w:pPr>
              <w:pStyle w:val="721"/>
              <w:pBdr/>
              <w:spacing/>
              <w:ind/>
              <w:jc w:val="center"/>
              <w:rPr/>
            </w:pPr>
            <w:r>
              <w:rPr>
                <w:sz w:val="16"/>
              </w:rPr>
              <w:t xml:space="preserve">M3 · 3.1</w:t>
            </w:r>
            <w:r/>
          </w:p>
        </w:tc>
        <w:tc>
          <w:tcPr>
            <w:tcBorders/>
            <w:tcW w:w="1150" w:type="dxa"/>
            <w:vAlign w:val="center"/>
          </w:tcPr>
          <w:p>
            <w:pPr>
              <w:pStyle w:val="721"/>
              <w:pBdr/>
              <w:spacing/>
              <w:ind/>
              <w:jc w:val="left"/>
              <w:rPr/>
            </w:pPr>
            <w:r>
              <w:rPr>
                <w:sz w:val="16"/>
              </w:rPr>
              <w:t xml:space="preserve">Heriberto Valencia</w:t>
            </w:r>
            <w:r/>
          </w:p>
        </w:tc>
        <w:tc>
          <w:tcPr>
            <w:tcBorders/>
            <w:tcW w:w="2100" w:type="dxa"/>
            <w:vAlign w:val="center"/>
          </w:tcPr>
          <w:p>
            <w:pPr>
              <w:pStyle w:val="721"/>
              <w:pBdr/>
              <w:spacing/>
              <w:ind/>
              <w:jc w:val="left"/>
              <w:rPr/>
            </w:pPr>
            <w:r>
              <w:rPr>
                <w:sz w:val="16"/>
              </w:rPr>
              <w:t xml:space="preserve">pct_change(periods=1) → comparaba cada mes con el anterior y daba −10,77 % en octubre (efecto calendario)</w:t>
            </w:r>
            <w:r/>
          </w:p>
        </w:tc>
        <w:tc>
          <w:tcPr>
            <w:tcBorders/>
            <w:tcW w:w="1750" w:type="dxa"/>
            <w:vAlign w:val="center"/>
          </w:tcPr>
          <w:p>
            <w:pPr>
              <w:pStyle w:val="721"/>
              <w:pBdr/>
              <w:spacing/>
              <w:ind/>
              <w:jc w:val="left"/>
              <w:rPr/>
            </w:pPr>
            <w:r>
              <w:rPr>
                <w:sz w:val="16"/>
              </w:rPr>
              <w:t xml:space="preserve">pct_change(periods=12) → la última variación es +5,87 % (sept-2026 vs. sept-2025)</w:t>
            </w:r>
            <w:r/>
          </w:p>
        </w:tc>
        <w:tc>
          <w:tcPr>
            <w:tcBorders/>
            <w:tcW w:w="1800" w:type="dxa"/>
            <w:vAlign w:val="center"/>
          </w:tcPr>
          <w:p>
            <w:pPr>
              <w:pStyle w:val="721"/>
              <w:pBdr/>
              <w:spacing/>
              <w:ind/>
              <w:jc w:val="left"/>
              <w:rPr/>
            </w:pPr>
            <w:r>
              <w:rPr>
                <w:sz w:val="16"/>
              </w:rPr>
              <w:t xml:space="preserve">✅ 3.3 en rojo: «'Interanual' significa frente al mismo mes del AÑO anterior»</w:t>
            </w:r>
            <w:r/>
          </w:p>
        </w:tc>
      </w:tr>
      <w:tr>
        <w:trPr/>
        <w:tc>
          <w:tcPr>
            <w:tcBorders/>
            <w:tcW w:w="1500" w:type="dxa"/>
            <w:vAlign w:val="center"/>
          </w:tcPr>
          <w:p>
            <w:pPr>
              <w:pStyle w:val="721"/>
              <w:pBdr/>
              <w:spacing/>
              <w:ind/>
              <w:jc w:val="left"/>
              <w:rPr/>
            </w:pPr>
            <w:r>
              <w:rPr>
                <w:sz w:val="16"/>
              </w:rPr>
              <w:t xml:space="preserve">La línea de la meta se dibujaba en 0,8 y no se veía</w:t>
            </w:r>
            <w:r/>
          </w:p>
        </w:tc>
        <w:tc>
          <w:tcPr>
            <w:tcBorders/>
            <w:tcW w:w="700" w:type="dxa"/>
            <w:vAlign w:val="center"/>
          </w:tcPr>
          <w:p>
            <w:pPr>
              <w:pStyle w:val="721"/>
              <w:pBdr/>
              <w:spacing/>
              <w:ind/>
              <w:jc w:val="center"/>
              <w:rPr/>
            </w:pPr>
            <w:r>
              <w:rPr>
                <w:sz w:val="16"/>
              </w:rPr>
              <w:t xml:space="preserve">M4 · 4.1</w:t>
            </w:r>
            <w:r/>
          </w:p>
        </w:tc>
        <w:tc>
          <w:tcPr>
            <w:tcBorders/>
            <w:tcW w:w="1150" w:type="dxa"/>
            <w:vAlign w:val="center"/>
          </w:tcPr>
          <w:p>
            <w:pPr>
              <w:pStyle w:val="721"/>
              <w:pBdr/>
              <w:spacing/>
              <w:ind/>
              <w:jc w:val="left"/>
              <w:rPr/>
            </w:pPr>
            <w:r>
              <w:rPr>
                <w:sz w:val="16"/>
              </w:rPr>
              <w:t xml:space="preserve">Anderson Silva</w:t>
            </w:r>
            <w:r/>
          </w:p>
        </w:tc>
        <w:tc>
          <w:tcPr>
            <w:tcBorders/>
            <w:tcW w:w="2100" w:type="dxa"/>
            <w:vAlign w:val="center"/>
          </w:tcPr>
          <w:p>
            <w:pPr>
              <w:pStyle w:val="721"/>
              <w:pBdr/>
              <w:spacing/>
              <w:ind/>
              <w:jc w:val="left"/>
              <w:rPr/>
            </w:pPr>
            <w:r>
              <w:rPr>
                <w:sz w:val="16"/>
              </w:rPr>
              <w:t xml:space="preserve">axhline(y=0.8, …) con el eje vertical de 0 a 1 → la meta del 80 % quedaba pegada al eje y la zona crítica del 40 % tampoco se distinguía</w:t>
            </w:r>
            <w:r/>
          </w:p>
        </w:tc>
        <w:tc>
          <w:tcPr>
            <w:tcBorders/>
            <w:tcW w:w="1750" w:type="dxa"/>
            <w:vAlign w:val="center"/>
          </w:tcPr>
          <w:p>
            <w:pPr>
              <w:pStyle w:val="721"/>
              <w:pBdr/>
              <w:spacing/>
              <w:ind/>
              <w:jc w:val="left"/>
              <w:rPr/>
            </w:pPr>
            <w:r>
              <w:rPr>
                <w:sz w:val="16"/>
              </w:rPr>
              <w:t xml:space="preserve">axhline(y=80, …) y axhline(y=40, …) con set_ylim(0, 100) → las dos referencias se ven sobre la escala real de porcentajes</w:t>
            </w:r>
            <w:r/>
          </w:p>
        </w:tc>
        <w:tc>
          <w:tcPr>
            <w:tcBorders/>
            <w:tcW w:w="1800" w:type="dxa"/>
            <w:vAlign w:val="center"/>
          </w:tcPr>
          <w:p>
            <w:pPr>
              <w:pStyle w:val="721"/>
              <w:pBdr/>
              <w:spacing/>
              <w:ind/>
              <w:jc w:val="left"/>
              <w:rPr/>
            </w:pPr>
            <w:r>
              <w:rPr>
                <w:sz w:val="16"/>
              </w:rPr>
              <w:t xml:space="preserve">✅ 4.1 en rojo: «Línea de la meta en 80 %»</w:t>
            </w:r>
            <w:r/>
          </w:p>
        </w:tc>
      </w:tr>
      <w:tr>
        <w:trPr/>
        <w:tc>
          <w:tcPr>
            <w:tcBorders/>
            <w:tcW w:w="1500" w:type="dxa"/>
            <w:vAlign w:val="center"/>
          </w:tcPr>
          <w:p>
            <w:pPr>
              <w:pStyle w:val="721"/>
              <w:pBdr/>
              <w:spacing/>
              <w:ind/>
              <w:jc w:val="left"/>
              <w:rPr/>
            </w:pPr>
            <w:r>
              <w:rPr>
                <w:sz w:val="16"/>
              </w:rPr>
              <w:t xml:space="preserve">La fecha del mínimo de 2024 se calculaba con idxmax</w:t>
            </w:r>
            <w:r/>
          </w:p>
        </w:tc>
        <w:tc>
          <w:tcPr>
            <w:tcBorders/>
            <w:tcW w:w="700" w:type="dxa"/>
            <w:vAlign w:val="center"/>
          </w:tcPr>
          <w:p>
            <w:pPr>
              <w:pStyle w:val="721"/>
              <w:pBdr/>
              <w:spacing/>
              <w:ind/>
              <w:jc w:val="center"/>
              <w:rPr/>
            </w:pPr>
            <w:r>
              <w:rPr>
                <w:sz w:val="16"/>
              </w:rPr>
              <w:t xml:space="preserve">M4 · 4.2</w:t>
            </w:r>
            <w:r/>
          </w:p>
        </w:tc>
        <w:tc>
          <w:tcPr>
            <w:tcBorders/>
            <w:tcW w:w="1150" w:type="dxa"/>
            <w:vAlign w:val="center"/>
          </w:tcPr>
          <w:p>
            <w:pPr>
              <w:pStyle w:val="721"/>
              <w:pBdr/>
              <w:spacing/>
              <w:ind/>
              <w:jc w:val="left"/>
              <w:rPr/>
            </w:pPr>
            <w:r>
              <w:rPr>
                <w:sz w:val="16"/>
              </w:rPr>
              <w:t xml:space="preserve">Anderson Silva</w:t>
            </w:r>
            <w:r/>
          </w:p>
        </w:tc>
        <w:tc>
          <w:tcPr>
            <w:tcBorders/>
            <w:tcW w:w="2100" w:type="dxa"/>
            <w:vAlign w:val="center"/>
          </w:tcPr>
          <w:p>
            <w:pPr>
              <w:pStyle w:val="721"/>
              <w:pBdr/>
              <w:spacing/>
              <w:ind/>
              <w:jc w:val="left"/>
              <w:rPr/>
            </w:pPr>
            <w:r>
              <w:rPr>
                <w:sz w:val="16"/>
              </w:rPr>
              <w:t xml:space="preserve">nivel_2024.idxmax() → atribuía el mínimo de 28,56 % al 2024-01-01, que ese día estaba en 70,06 %</w:t>
            </w:r>
            <w:r/>
          </w:p>
        </w:tc>
        <w:tc>
          <w:tcPr>
            <w:tcBorders/>
            <w:tcW w:w="1750" w:type="dxa"/>
            <w:vAlign w:val="center"/>
          </w:tcPr>
          <w:p>
            <w:pPr>
              <w:pStyle w:val="721"/>
              <w:pBdr/>
              <w:spacing/>
              <w:ind/>
              <w:jc w:val="left"/>
              <w:rPr/>
            </w:pPr>
            <w:r>
              <w:rPr>
                <w:sz w:val="16"/>
              </w:rPr>
              <w:t xml:space="preserve">nivel_2024.idxmin() → 2024-04-18 con 28,56 %, que coincide con minimo_2024</w:t>
            </w:r>
            <w:r/>
          </w:p>
        </w:tc>
        <w:tc>
          <w:tcPr>
            <w:tcBorders/>
            <w:tcW w:w="1800" w:type="dxa"/>
            <w:vAlign w:val="center"/>
          </w:tcPr>
          <w:p>
            <w:pPr>
              <w:pStyle w:val="721"/>
              <w:pBdr/>
              <w:spacing/>
              <w:ind/>
              <w:jc w:val="left"/>
              <w:rPr/>
            </w:pPr>
            <w:r>
              <w:rPr>
                <w:sz w:val="16"/>
              </w:rPr>
              <w:t xml:space="preserve">✅ 4.2 en rojo: «Fecha del mínimo de 2024 coherente»; además la ficha de la celda 8.2 imprimía la fecha equivocada</w:t>
            </w:r>
            <w:r/>
          </w:p>
        </w:tc>
      </w:tr>
      <w:tr>
        <w:trPr/>
        <w:tc>
          <w:tcPr>
            <w:tcBorders/>
            <w:tcW w:w="1500" w:type="dxa"/>
            <w:vAlign w:val="center"/>
          </w:tcPr>
          <w:p>
            <w:pPr>
              <w:pStyle w:val="721"/>
              <w:pBdr/>
              <w:spacing/>
              <w:ind/>
              <w:jc w:val="left"/>
              <w:rPr/>
            </w:pPr>
            <w:r>
              <w:rPr>
                <w:sz w:val="16"/>
              </w:rPr>
              <w:t xml:space="preserve">El diagrama de caja se agrupaba por mes en vez de por año</w:t>
            </w:r>
            <w:r/>
          </w:p>
        </w:tc>
        <w:tc>
          <w:tcPr>
            <w:tcBorders/>
            <w:tcW w:w="700" w:type="dxa"/>
            <w:vAlign w:val="center"/>
          </w:tcPr>
          <w:p>
            <w:pPr>
              <w:pStyle w:val="721"/>
              <w:pBdr/>
              <w:spacing/>
              <w:ind/>
              <w:jc w:val="center"/>
              <w:rPr/>
            </w:pPr>
            <w:r>
              <w:rPr>
                <w:sz w:val="16"/>
              </w:rPr>
              <w:t xml:space="preserve">M5 · 5.1</w:t>
            </w:r>
            <w:r/>
          </w:p>
        </w:tc>
        <w:tc>
          <w:tcPr>
            <w:tcBorders/>
            <w:tcW w:w="1150" w:type="dxa"/>
            <w:vAlign w:val="center"/>
          </w:tcPr>
          <w:p>
            <w:pPr>
              <w:pStyle w:val="721"/>
              <w:pBdr/>
              <w:spacing/>
              <w:ind/>
              <w:jc w:val="left"/>
              <w:rPr/>
            </w:pPr>
            <w:r>
              <w:rPr>
                <w:sz w:val="16"/>
              </w:rPr>
              <w:t xml:space="preserve">Anderson Silva</w:t>
            </w:r>
            <w:r/>
          </w:p>
        </w:tc>
        <w:tc>
          <w:tcPr>
            <w:tcBorders/>
            <w:tcW w:w="2100" w:type="dxa"/>
            <w:vAlign w:val="center"/>
          </w:tcPr>
          <w:p>
            <w:pPr>
              <w:pStyle w:val="721"/>
              <w:pBdr/>
              <w:spacing/>
              <w:ind/>
              <w:jc w:val="left"/>
              <w:rPr/>
            </w:pPr>
            <w:r>
              <w:rPr>
                <w:sz w:val="16"/>
              </w:rPr>
              <w:t xml:space="preserve">boxplot(column="precio_bolsa", by="mes") → una caja por mes (48 cajas) y el eje x sin años</w:t>
            </w:r>
            <w:r/>
          </w:p>
        </w:tc>
        <w:tc>
          <w:tcPr>
            <w:tcBorders/>
            <w:tcW w:w="1750" w:type="dxa"/>
            <w:vAlign w:val="center"/>
          </w:tcPr>
          <w:p>
            <w:pPr>
              <w:pStyle w:val="721"/>
              <w:pBdr/>
              <w:spacing/>
              <w:ind/>
              <w:jc w:val="left"/>
              <w:rPr/>
            </w:pPr>
            <w:r>
              <w:rPr>
                <w:sz w:val="16"/>
              </w:rPr>
              <w:t xml:space="preserve">by="anio" → una caja por año (2022 a 2026) y set_xlabel("Año")</w:t>
            </w:r>
            <w:r/>
          </w:p>
        </w:tc>
        <w:tc>
          <w:tcPr>
            <w:tcBorders/>
            <w:tcW w:w="1800" w:type="dxa"/>
            <w:vAlign w:val="center"/>
          </w:tcPr>
          <w:p>
            <w:pPr>
              <w:pStyle w:val="721"/>
              <w:pBdr/>
              <w:spacing/>
              <w:ind/>
              <w:jc w:val="left"/>
              <w:rPr/>
            </w:pPr>
            <w:r>
              <w:rPr>
                <w:sz w:val="16"/>
              </w:rPr>
              <w:t xml:space="preserve">✅ 5.1 en rojo: «Diagrama de caja por año»</w:t>
            </w:r>
            <w:r/>
          </w:p>
        </w:tc>
      </w:tr>
      <w:tr>
        <w:trPr/>
        <w:tc>
          <w:tcPr>
            <w:tcBorders/>
            <w:tcW w:w="1500" w:type="dxa"/>
            <w:vAlign w:val="center"/>
          </w:tcPr>
          <w:p>
            <w:pPr>
              <w:pStyle w:val="721"/>
              <w:pBdr/>
              <w:spacing/>
              <w:ind/>
              <w:jc w:val="left"/>
              <w:rPr/>
            </w:pPr>
            <w:r>
              <w:rPr>
                <w:sz w:val="16"/>
              </w:rPr>
              <w:t xml:space="preserve">Un comentario de IA decía que PrecBolsNaci venía en USD/MWh</w:t>
            </w:r>
            <w:r/>
          </w:p>
        </w:tc>
        <w:tc>
          <w:tcPr>
            <w:tcBorders/>
            <w:tcW w:w="700" w:type="dxa"/>
            <w:vAlign w:val="center"/>
          </w:tcPr>
          <w:p>
            <w:pPr>
              <w:pStyle w:val="721"/>
              <w:pBdr/>
              <w:spacing/>
              <w:ind/>
              <w:jc w:val="center"/>
              <w:rPr/>
            </w:pPr>
            <w:r>
              <w:rPr>
                <w:sz w:val="16"/>
              </w:rPr>
              <w:t xml:space="preserve">M5 · 5.1</w:t>
            </w:r>
            <w:r/>
          </w:p>
        </w:tc>
        <w:tc>
          <w:tcPr>
            <w:tcBorders/>
            <w:tcW w:w="1150" w:type="dxa"/>
            <w:vAlign w:val="center"/>
          </w:tcPr>
          <w:p>
            <w:pPr>
              <w:pStyle w:val="721"/>
              <w:pBdr/>
              <w:spacing/>
              <w:ind/>
              <w:jc w:val="left"/>
              <w:rPr/>
            </w:pPr>
            <w:r>
              <w:rPr>
                <w:sz w:val="16"/>
              </w:rPr>
              <w:t xml:space="preserve">Anderson Silva</w:t>
            </w:r>
            <w:r/>
          </w:p>
        </w:tc>
        <w:tc>
          <w:tcPr>
            <w:tcBorders/>
            <w:tcW w:w="2100" w:type="dxa"/>
            <w:vAlign w:val="center"/>
          </w:tcPr>
          <w:p>
            <w:pPr>
              <w:pStyle w:val="721"/>
              <w:pBdr/>
              <w:spacing/>
              <w:ind/>
              <w:jc w:val="left"/>
              <w:rPr/>
            </w:pPr>
            <w:r>
              <w:rPr>
                <w:sz w:val="16"/>
              </w:rPr>
              <w:t xml:space="preserve">«PrecBolsNaci viene en dólares por megavatio-hora (USD/MWh)» (comentario generado por un asistente de IA)</w:t>
            </w:r>
            <w:r/>
          </w:p>
        </w:tc>
        <w:tc>
          <w:tcPr>
            <w:tcBorders/>
            <w:tcW w:w="1750" w:type="dxa"/>
            <w:vAlign w:val="center"/>
          </w:tcPr>
          <w:p>
            <w:pPr>
              <w:pStyle w:val="721"/>
              <w:pBdr/>
              <w:spacing/>
              <w:ind/>
              <w:jc w:val="left"/>
              <w:rPr/>
            </w:pPr>
            <w:r>
              <w:rPr>
                <w:sz w:val="16"/>
              </w:rPr>
              <w:t xml:space="preserve">La unidad es COP/kWh: lo dice MetricUnits en buscar("PrecBolsNaci") (celda 0.4) y los datos (media 434,26 · máximo 2.498,80)</w:t>
            </w:r>
            <w:r/>
          </w:p>
        </w:tc>
        <w:tc>
          <w:tcPr>
            <w:tcBorders/>
            <w:tcW w:w="1800" w:type="dxa"/>
            <w:vAlign w:val="center"/>
          </w:tcPr>
          <w:p>
            <w:pPr>
              <w:pStyle w:val="721"/>
              <w:pBdr/>
              <w:spacing/>
              <w:ind/>
              <w:jc w:val="left"/>
              <w:rPr/>
            </w:pPr>
            <w:r>
              <w:rPr>
                <w:sz w:val="16"/>
              </w:rPr>
              <w:t xml:space="preserve">Alucinación detectada al comparar el comentario de la IA con la celda 0.4 y con los datos: es justo la alucinación que la guía pide detectar (fila 5 de la bitácora)</w:t>
            </w:r>
            <w:r/>
          </w:p>
        </w:tc>
      </w:tr>
      <w:tr>
        <w:trPr/>
        <w:tc>
          <w:tcPr>
            <w:tcBorders/>
            <w:tcW w:w="1500" w:type="dxa"/>
            <w:vAlign w:val="center"/>
          </w:tcPr>
          <w:p>
            <w:pPr>
              <w:pStyle w:val="721"/>
              <w:pBdr/>
              <w:spacing/>
              <w:ind/>
              <w:jc w:val="left"/>
              <w:rPr/>
            </w:pPr>
            <w:r>
              <w:rPr>
                <w:sz w:val="16"/>
              </w:rPr>
              <w:t xml:space="preserve">Los «días sobre COP 1.000» salían como proporción y no como conteo</w:t>
            </w:r>
            <w:r/>
          </w:p>
        </w:tc>
        <w:tc>
          <w:tcPr>
            <w:tcBorders/>
            <w:tcW w:w="700" w:type="dxa"/>
            <w:vAlign w:val="center"/>
          </w:tcPr>
          <w:p>
            <w:pPr>
              <w:pStyle w:val="721"/>
              <w:pBdr/>
              <w:spacing/>
              <w:ind/>
              <w:jc w:val="center"/>
              <w:rPr/>
            </w:pPr>
            <w:r>
              <w:rPr>
                <w:sz w:val="16"/>
              </w:rPr>
              <w:t xml:space="preserve">M5 · 5.2</w:t>
            </w:r>
            <w:r/>
          </w:p>
        </w:tc>
        <w:tc>
          <w:tcPr>
            <w:tcBorders/>
            <w:tcW w:w="1150" w:type="dxa"/>
            <w:vAlign w:val="center"/>
          </w:tcPr>
          <w:p>
            <w:pPr>
              <w:pStyle w:val="721"/>
              <w:pBdr/>
              <w:spacing/>
              <w:ind/>
              <w:jc w:val="left"/>
              <w:rPr/>
            </w:pPr>
            <w:r>
              <w:rPr>
                <w:sz w:val="16"/>
              </w:rPr>
              <w:t xml:space="preserve">Anderson Silva</w:t>
            </w:r>
            <w:r/>
          </w:p>
        </w:tc>
        <w:tc>
          <w:tcPr>
            <w:tcBorders/>
            <w:tcW w:w="2100" w:type="dxa"/>
            <w:vAlign w:val="center"/>
          </w:tcPr>
          <w:p>
            <w:pPr>
              <w:pStyle w:val="721"/>
              <w:pBdr/>
              <w:spacing/>
              <w:ind/>
              <w:jc w:val="left"/>
              <w:rPr/>
            </w:pPr>
            <w:r>
              <w:rPr>
                <w:sz w:val="16"/>
              </w:rPr>
              <w:t xml:space="preserve">(precio &gt; 1000).groupby(...).mean() → 0,12 · 0,15 · 0,05 (fracciones, con decimales)</w:t>
            </w:r>
            <w:r/>
          </w:p>
        </w:tc>
        <w:tc>
          <w:tcPr>
            <w:tcBorders/>
            <w:tcW w:w="1750" w:type="dxa"/>
            <w:vAlign w:val="center"/>
          </w:tcPr>
          <w:p>
            <w:pPr>
              <w:pStyle w:val="721"/>
              <w:pBdr/>
              <w:spacing/>
              <w:ind/>
              <w:jc w:val="left"/>
              <w:rPr/>
            </w:pPr>
            <w:r>
              <w:rPr>
                <w:sz w:val="16"/>
              </w:rPr>
              <w:t xml:space="preserve">(precio &gt; 1000).groupby(...).sum() → 43 · 55 · 16 días enteros</w:t>
            </w:r>
            <w:r/>
          </w:p>
        </w:tc>
        <w:tc>
          <w:tcPr>
            <w:tcBorders/>
            <w:tcW w:w="1800" w:type="dxa"/>
            <w:vAlign w:val="center"/>
          </w:tcPr>
          <w:p>
            <w:pPr>
              <w:pStyle w:val="721"/>
              <w:pBdr/>
              <w:spacing/>
              <w:ind/>
              <w:jc w:val="left"/>
              <w:rPr/>
            </w:pPr>
            <w:r>
              <w:rPr>
                <w:sz w:val="16"/>
              </w:rPr>
              <w:t xml:space="preserve">✅ 5.2 en rojo: «Un número de días no puede tener decimales»</w:t>
            </w:r>
            <w:r/>
          </w:p>
        </w:tc>
      </w:tr>
      <w:tr>
        <w:trPr/>
        <w:tc>
          <w:tcPr>
            <w:tcBorders/>
            <w:tcW w:w="1500" w:type="dxa"/>
            <w:vAlign w:val="center"/>
          </w:tcPr>
          <w:p>
            <w:pPr>
              <w:pStyle w:val="721"/>
              <w:pBdr/>
              <w:spacing/>
              <w:ind/>
              <w:jc w:val="left"/>
              <w:rPr/>
            </w:pPr>
            <w:r>
              <w:rPr>
                <w:sz w:val="16"/>
              </w:rPr>
              <w:t xml:space="preserve">Ejes de la dispersión invertidos</w:t>
            </w:r>
            <w:r/>
          </w:p>
        </w:tc>
        <w:tc>
          <w:tcPr>
            <w:tcBorders/>
            <w:tcW w:w="700" w:type="dxa"/>
            <w:vAlign w:val="center"/>
          </w:tcPr>
          <w:p>
            <w:pPr>
              <w:pStyle w:val="721"/>
              <w:pBdr/>
              <w:spacing/>
              <w:ind/>
              <w:jc w:val="center"/>
              <w:rPr/>
            </w:pPr>
            <w:r>
              <w:rPr>
                <w:sz w:val="16"/>
              </w:rPr>
              <w:t xml:space="preserve">M6 · 6.1</w:t>
            </w:r>
            <w:r/>
          </w:p>
        </w:tc>
        <w:tc>
          <w:tcPr>
            <w:tcBorders/>
            <w:tcW w:w="1150" w:type="dxa"/>
            <w:vAlign w:val="center"/>
          </w:tcPr>
          <w:p>
            <w:pPr>
              <w:pStyle w:val="721"/>
              <w:pBdr/>
              <w:spacing/>
              <w:ind/>
              <w:jc w:val="left"/>
              <w:rPr/>
            </w:pPr>
            <w:r>
              <w:rPr>
                <w:sz w:val="16"/>
              </w:rPr>
              <w:t xml:space="preserve">Lina Bastidas</w:t>
            </w:r>
            <w:r/>
          </w:p>
        </w:tc>
        <w:tc>
          <w:tcPr>
            <w:tcBorders/>
            <w:tcW w:w="2100" w:type="dxa"/>
            <w:vAlign w:val="center"/>
          </w:tcPr>
          <w:p>
            <w:pPr>
              <w:pStyle w:val="721"/>
              <w:pBdr/>
              <w:spacing/>
              <w:ind/>
              <w:jc w:val="left"/>
              <w:rPr/>
            </w:pPr>
            <w:r>
              <w:rPr>
                <w:sz w:val="16"/>
              </w:rPr>
              <w:t xml:space="preserve">scatter(precio_bolsa, pct_embalse) con las etiquetas al revés → el eje rotulado «Nivel de embalses (%)» llegaba hasta 1.500 (el precio máximo)</w:t>
            </w:r>
            <w:r/>
          </w:p>
        </w:tc>
        <w:tc>
          <w:tcPr>
            <w:tcBorders/>
            <w:tcW w:w="1750" w:type="dxa"/>
            <w:vAlign w:val="center"/>
          </w:tcPr>
          <w:p>
            <w:pPr>
              <w:pStyle w:val="721"/>
              <w:pBdr/>
              <w:spacing/>
              <w:ind/>
              <w:jc w:val="left"/>
              <w:rPr/>
            </w:pPr>
            <w:r>
              <w:rPr>
                <w:sz w:val="16"/>
              </w:rPr>
              <w:t xml:space="preserve">scatter(pct_embalse, precio_bolsa) → el eje de embalses va de 28,6 % a 88,2 % y el de precio de 94,8 a 2.498,8 COP/kWh</w:t>
            </w:r>
            <w:r/>
          </w:p>
        </w:tc>
        <w:tc>
          <w:tcPr>
            <w:tcBorders/>
            <w:tcW w:w="1800" w:type="dxa"/>
            <w:vAlign w:val="center"/>
          </w:tcPr>
          <w:p>
            <w:pPr>
              <w:pStyle w:val="721"/>
              <w:pBdr/>
              <w:spacing/>
              <w:ind/>
              <w:jc w:val="left"/>
              <w:rPr/>
            </w:pPr>
            <w:r>
              <w:rPr>
                <w:sz w:val="16"/>
              </w:rPr>
              <w:t xml:space="preserve">✅ 6.2 en rojo: «Ejes coherentes con sus títulos»</w:t>
            </w:r>
            <w:r/>
          </w:p>
        </w:tc>
      </w:tr>
      <w:tr>
        <w:trPr/>
        <w:tc>
          <w:tcPr>
            <w:tcBorders/>
            <w:tcW w:w="1500" w:type="dxa"/>
            <w:vAlign w:val="center"/>
          </w:tcPr>
          <w:p>
            <w:pPr>
              <w:pStyle w:val="721"/>
              <w:pBdr/>
              <w:spacing/>
              <w:ind/>
              <w:jc w:val="left"/>
              <w:rPr/>
            </w:pPr>
            <w:r>
              <w:rPr>
                <w:sz w:val="16"/>
              </w:rPr>
              <w:t xml:space="preserve">Comparación con = en vez de == en el filtro por año</w:t>
            </w:r>
            <w:r/>
          </w:p>
        </w:tc>
        <w:tc>
          <w:tcPr>
            <w:tcBorders/>
            <w:tcW w:w="700" w:type="dxa"/>
            <w:vAlign w:val="center"/>
          </w:tcPr>
          <w:p>
            <w:pPr>
              <w:pStyle w:val="721"/>
              <w:pBdr/>
              <w:spacing/>
              <w:ind/>
              <w:jc w:val="center"/>
              <w:rPr/>
            </w:pPr>
            <w:r>
              <w:rPr>
                <w:sz w:val="16"/>
              </w:rPr>
              <w:t xml:space="preserve">M6 · 6.1</w:t>
            </w:r>
            <w:r/>
          </w:p>
        </w:tc>
        <w:tc>
          <w:tcPr>
            <w:tcBorders/>
            <w:tcW w:w="1150" w:type="dxa"/>
            <w:vAlign w:val="center"/>
          </w:tcPr>
          <w:p>
            <w:pPr>
              <w:pStyle w:val="721"/>
              <w:pBdr/>
              <w:spacing/>
              <w:ind/>
              <w:jc w:val="left"/>
              <w:rPr/>
            </w:pPr>
            <w:r>
              <w:rPr>
                <w:sz w:val="16"/>
              </w:rPr>
              <w:t xml:space="preserve">Lina Bastidas</w:t>
            </w:r>
            <w:r/>
          </w:p>
        </w:tc>
        <w:tc>
          <w:tcPr>
            <w:tcBorders/>
            <w:tcW w:w="2100" w:type="dxa"/>
            <w:vAlign w:val="center"/>
          </w:tcPr>
          <w:p>
            <w:pPr>
              <w:pStyle w:val="721"/>
              <w:pBdr/>
              <w:spacing/>
              <w:ind/>
              <w:jc w:val="left"/>
              <w:rPr/>
            </w:pPr>
            <w:r>
              <w:rPr>
                <w:sz w:val="16"/>
              </w:rPr>
              <w:t xml:space="preserve">df_limpio[df_limpio["anio"] = anio] asigna en vez de comparar: devuelve un booleano, el filtro no selecciona ningún día y la dispersión sale vacía</w:t>
            </w:r>
            <w:r/>
          </w:p>
        </w:tc>
        <w:tc>
          <w:tcPr>
            <w:tcBorders/>
            <w:tcW w:w="1750" w:type="dxa"/>
            <w:vAlign w:val="center"/>
          </w:tcPr>
          <w:p>
            <w:pPr>
              <w:pStyle w:val="721"/>
              <w:pBdr/>
              <w:spacing/>
              <w:ind/>
              <w:jc w:val="left"/>
              <w:rPr/>
            </w:pPr>
            <w:r>
              <w:rPr>
                <w:sz w:val="16"/>
              </w:rPr>
              <w:t xml:space="preserve">df_limpio[df_limpio["anio"] == anio] → compara y devuelve el grupo de días de cada año, un grupo de puntos por año</w:t>
            </w:r>
            <w:r/>
          </w:p>
        </w:tc>
        <w:tc>
          <w:tcPr>
            <w:tcBorders/>
            <w:tcW w:w="1800" w:type="dxa"/>
            <w:vAlign w:val="center"/>
          </w:tcPr>
          <w:p>
            <w:pPr>
              <w:pStyle w:val="721"/>
              <w:pBdr/>
              <w:spacing/>
              <w:ind/>
              <w:jc w:val="left"/>
              <w:rPr/>
            </w:pPr>
            <w:r>
              <w:rPr>
                <w:sz w:val="16"/>
              </w:rPr>
              <w:t xml:space="preserve">Revisión manual del código de la celda 6.1 al responder la afirmación 4 de la Pregunta 6; verificado por ✅ 6.1 «Un grupo de puntos por año»</w:t>
            </w:r>
            <w:r/>
          </w:p>
        </w:tc>
      </w:tr>
      <w:tr>
        <w:trPr/>
        <w:tc>
          <w:tcPr>
            <w:tcBorders/>
            <w:tcW w:w="1500" w:type="dxa"/>
            <w:vAlign w:val="center"/>
          </w:tcPr>
          <w:p>
            <w:pPr>
              <w:pStyle w:val="721"/>
              <w:pBdr/>
              <w:spacing/>
              <w:ind/>
              <w:jc w:val="left"/>
              <w:rPr/>
            </w:pPr>
            <w:r>
              <w:rPr>
                <w:sz w:val="16"/>
              </w:rPr>
              <w:t xml:space="preserve">Spearman calculado con el método de Pearson</w:t>
            </w:r>
            <w:r/>
          </w:p>
        </w:tc>
        <w:tc>
          <w:tcPr>
            <w:tcBorders/>
            <w:tcW w:w="700" w:type="dxa"/>
            <w:vAlign w:val="center"/>
          </w:tcPr>
          <w:p>
            <w:pPr>
              <w:pStyle w:val="721"/>
              <w:pBdr/>
              <w:spacing/>
              <w:ind/>
              <w:jc w:val="center"/>
              <w:rPr/>
            </w:pPr>
            <w:r>
              <w:rPr>
                <w:sz w:val="16"/>
              </w:rPr>
              <w:t xml:space="preserve">M6 · 6.2</w:t>
            </w:r>
            <w:r/>
          </w:p>
        </w:tc>
        <w:tc>
          <w:tcPr>
            <w:tcBorders/>
            <w:tcW w:w="1150" w:type="dxa"/>
            <w:vAlign w:val="center"/>
          </w:tcPr>
          <w:p>
            <w:pPr>
              <w:pStyle w:val="721"/>
              <w:pBdr/>
              <w:spacing/>
              <w:ind/>
              <w:jc w:val="left"/>
              <w:rPr/>
            </w:pPr>
            <w:r>
              <w:rPr>
                <w:sz w:val="16"/>
              </w:rPr>
              <w:t xml:space="preserve">Lina Bastidas</w:t>
            </w:r>
            <w:r/>
          </w:p>
        </w:tc>
        <w:tc>
          <w:tcPr>
            <w:tcBorders/>
            <w:tcW w:w="2100" w:type="dxa"/>
            <w:vAlign w:val="center"/>
          </w:tcPr>
          <w:p>
            <w:pPr>
              <w:pStyle w:val="721"/>
              <w:pBdr/>
              <w:spacing/>
              <w:ind/>
              <w:jc w:val="left"/>
              <w:rPr/>
            </w:pPr>
            <w:r>
              <w:rPr>
                <w:sz w:val="16"/>
              </w:rPr>
              <w:t xml:space="preserve">corr(..., method="pearson") en la línea de Spearman → las dos correlaciones salían idénticas (−0,226)</w:t>
            </w:r>
            <w:r/>
          </w:p>
        </w:tc>
        <w:tc>
          <w:tcPr>
            <w:tcBorders/>
            <w:tcW w:w="1750" w:type="dxa"/>
            <w:vAlign w:val="center"/>
          </w:tcPr>
          <w:p>
            <w:pPr>
              <w:pStyle w:val="721"/>
              <w:pBdr/>
              <w:spacing/>
              <w:ind/>
              <w:jc w:val="left"/>
              <w:rPr/>
            </w:pPr>
            <w:r>
              <w:rPr>
                <w:sz w:val="16"/>
              </w:rPr>
              <w:t xml:space="preserve">method="spearman" → Pearson −0,226 y Spearman −0,252, que sí difieren</w:t>
            </w:r>
            <w:r/>
          </w:p>
        </w:tc>
        <w:tc>
          <w:tcPr>
            <w:tcBorders/>
            <w:tcW w:w="1800" w:type="dxa"/>
            <w:vAlign w:val="center"/>
          </w:tcPr>
          <w:p>
            <w:pPr>
              <w:pStyle w:val="721"/>
              <w:pBdr/>
              <w:spacing/>
              <w:ind/>
              <w:jc w:val="left"/>
              <w:rPr/>
            </w:pPr>
            <w:r>
              <w:rPr>
                <w:sz w:val="16"/>
              </w:rPr>
              <w:t xml:space="preserve">✅ 6.3 en rojo: «Pearson y Spearman calculados por separado»</w:t>
            </w:r>
            <w:r/>
          </w:p>
        </w:tc>
      </w:tr>
      <w:tr>
        <w:trPr/>
        <w:tc>
          <w:tcPr>
            <w:tcBorders/>
            <w:tcW w:w="1500" w:type="dxa"/>
            <w:vAlign w:val="center"/>
          </w:tcPr>
          <w:p>
            <w:pPr>
              <w:pStyle w:val="721"/>
              <w:pBdr/>
              <w:spacing/>
              <w:ind/>
              <w:jc w:val="left"/>
              <w:rPr/>
            </w:pPr>
            <w:r>
              <w:rPr>
                <w:sz w:val="16"/>
              </w:rPr>
              <w:t xml:space="preserve">El semáforo no contemplaba el caso «sin dato»</w:t>
            </w:r>
            <w:r/>
          </w:p>
        </w:tc>
        <w:tc>
          <w:tcPr>
            <w:tcBorders/>
            <w:tcW w:w="700" w:type="dxa"/>
            <w:vAlign w:val="center"/>
          </w:tcPr>
          <w:p>
            <w:pPr>
              <w:pStyle w:val="721"/>
              <w:pBdr/>
              <w:spacing/>
              <w:ind/>
              <w:jc w:val="center"/>
              <w:rPr/>
            </w:pPr>
            <w:r>
              <w:rPr>
                <w:sz w:val="16"/>
              </w:rPr>
              <w:t xml:space="preserve">M7 · 7.1</w:t>
            </w:r>
            <w:r/>
          </w:p>
        </w:tc>
        <w:tc>
          <w:tcPr>
            <w:tcBorders/>
            <w:tcW w:w="1150" w:type="dxa"/>
            <w:vAlign w:val="center"/>
          </w:tcPr>
          <w:p>
            <w:pPr>
              <w:pStyle w:val="721"/>
              <w:pBdr/>
              <w:spacing/>
              <w:ind/>
              <w:jc w:val="left"/>
              <w:rPr/>
            </w:pPr>
            <w:r>
              <w:rPr>
                <w:sz w:val="16"/>
              </w:rPr>
              <w:t xml:space="preserve">Heriberto Valencia</w:t>
            </w:r>
            <w:r/>
          </w:p>
        </w:tc>
        <w:tc>
          <w:tcPr>
            <w:tcBorders/>
            <w:tcW w:w="2100" w:type="dxa"/>
            <w:vAlign w:val="center"/>
          </w:tcPr>
          <w:p>
            <w:pPr>
              <w:pStyle w:val="721"/>
              <w:pBdr/>
              <w:spacing/>
              <w:ind/>
              <w:jc w:val="left"/>
              <w:rPr/>
            </w:pPr>
            <w:r>
              <w:rPr>
                <w:sz w:val="16"/>
              </w:rPr>
              <w:t xml:space="preserve">np.nan caía en el else y devolvía «seguro»: un día sin dato se reportaba como el mejor estado</w:t>
            </w:r>
            <w:r/>
          </w:p>
        </w:tc>
        <w:tc>
          <w:tcPr>
            <w:tcBorders/>
            <w:tcW w:w="1750" w:type="dxa"/>
            <w:vAlign w:val="center"/>
          </w:tcPr>
          <w:p>
            <w:pPr>
              <w:pStyle w:val="721"/>
              <w:pBdr/>
              <w:spacing/>
              <w:ind/>
              <w:jc w:val="left"/>
              <w:rPr/>
            </w:pPr>
            <w:r>
              <w:rPr>
                <w:sz w:val="16"/>
              </w:rPr>
              <w:t xml:space="preserve">if pd.isna(pct): return "sin dato" como primera rama, antes de cualquier comparación</w:t>
            </w:r>
            <w:r/>
          </w:p>
        </w:tc>
        <w:tc>
          <w:tcPr>
            <w:tcBorders/>
            <w:tcW w:w="1800" w:type="dxa"/>
            <w:vAlign w:val="center"/>
          </w:tcPr>
          <w:p>
            <w:pPr>
              <w:pStyle w:val="721"/>
              <w:pBdr/>
              <w:spacing/>
              <w:ind/>
              <w:jc w:val="left"/>
              <w:rPr/>
            </w:pPr>
            <w:r>
              <w:rPr>
                <w:sz w:val="16"/>
              </w:rPr>
              <w:t xml:space="preserve">✅ 7.3 en rojo: «Dato faltante → 'sin dato'»</w:t>
            </w:r>
            <w:r/>
          </w:p>
        </w:tc>
      </w:tr>
      <w:tr>
        <w:trPr/>
        <w:tc>
          <w:tcPr>
            <w:tcBorders/>
            <w:tcW w:w="1500" w:type="dxa"/>
            <w:vAlign w:val="center"/>
          </w:tcPr>
          <w:p>
            <w:pPr>
              <w:pStyle w:val="721"/>
              <w:pBdr/>
              <w:spacing/>
              <w:ind/>
              <w:jc w:val="left"/>
              <w:rPr/>
            </w:pPr>
            <w:r>
              <w:rPr>
                <w:sz w:val="16"/>
              </w:rPr>
              <w:t xml:space="preserve">Fecha del mínimo calculada con idxmax (fecha del máximo repetida)</w:t>
            </w:r>
            <w:r/>
          </w:p>
        </w:tc>
        <w:tc>
          <w:tcPr>
            <w:tcBorders/>
            <w:tcW w:w="700" w:type="dxa"/>
            <w:vAlign w:val="center"/>
          </w:tcPr>
          <w:p>
            <w:pPr>
              <w:pStyle w:val="721"/>
              <w:pBdr/>
              <w:spacing/>
              <w:ind/>
              <w:jc w:val="center"/>
              <w:rPr/>
            </w:pPr>
            <w:r>
              <w:rPr>
                <w:sz w:val="16"/>
              </w:rPr>
              <w:t xml:space="preserve">M7 · 7.1</w:t>
            </w:r>
            <w:r/>
          </w:p>
        </w:tc>
        <w:tc>
          <w:tcPr>
            <w:tcBorders/>
            <w:tcW w:w="1150" w:type="dxa"/>
            <w:vAlign w:val="center"/>
          </w:tcPr>
          <w:p>
            <w:pPr>
              <w:pStyle w:val="721"/>
              <w:pBdr/>
              <w:spacing/>
              <w:ind/>
              <w:jc w:val="left"/>
              <w:rPr/>
            </w:pPr>
            <w:r>
              <w:rPr>
                <w:sz w:val="16"/>
              </w:rPr>
              <w:t xml:space="preserve">Heriberto Valencia</w:t>
            </w:r>
            <w:r/>
          </w:p>
        </w:tc>
        <w:tc>
          <w:tcPr>
            <w:tcBorders/>
            <w:tcW w:w="2100" w:type="dxa"/>
            <w:vAlign w:val="center"/>
          </w:tcPr>
          <w:p>
            <w:pPr>
              <w:pStyle w:val="721"/>
              <w:pBdr/>
              <w:spacing/>
              <w:ind/>
              <w:jc w:val="left"/>
              <w:rPr/>
            </w:pPr>
            <w:r>
              <w:rPr>
                <w:sz w:val="16"/>
              </w:rPr>
              <w:t xml:space="preserve">"fecha_minimo": serie.idxmax().date() → el mínimo y el máximo devolvían la misma fecha (en pct_embalse, 2022-08-06)</w:t>
            </w:r>
            <w:r/>
          </w:p>
        </w:tc>
        <w:tc>
          <w:tcPr>
            <w:tcBorders/>
            <w:tcW w:w="1750" w:type="dxa"/>
            <w:vAlign w:val="center"/>
          </w:tcPr>
          <w:p>
            <w:pPr>
              <w:pStyle w:val="721"/>
              <w:pBdr/>
              <w:spacing/>
              <w:ind/>
              <w:jc w:val="left"/>
              <w:rPr/>
            </w:pPr>
            <w:r>
              <w:rPr>
                <w:sz w:val="16"/>
              </w:rPr>
              <w:t xml:space="preserve">"fecha_minimo": serie.idxmin().date() → 2024-04-18 con 28,56 %, que coincide con idxmin()</w:t>
            </w:r>
            <w:r/>
          </w:p>
        </w:tc>
        <w:tc>
          <w:tcPr>
            <w:tcBorders/>
            <w:tcW w:w="1800" w:type="dxa"/>
            <w:vAlign w:val="center"/>
          </w:tcPr>
          <w:p>
            <w:pPr>
              <w:pStyle w:val="721"/>
              <w:pBdr/>
              <w:spacing/>
              <w:ind/>
              <w:jc w:val="left"/>
              <w:rPr/>
            </w:pPr>
            <w:r>
              <w:rPr>
                <w:sz w:val="16"/>
              </w:rPr>
              <w:t xml:space="preserve">✅ 7.1 en rojo: «Fechas del resumen coherentes»</w:t>
            </w:r>
            <w:r/>
          </w:p>
        </w:tc>
      </w:tr>
      <w:tr>
        <w:trPr/>
        <w:tc>
          <w:tcPr>
            <w:tcBorders/>
            <w:tcW w:w="1500" w:type="dxa"/>
            <w:vAlign w:val="center"/>
          </w:tcPr>
          <w:p>
            <w:pPr>
              <w:pStyle w:val="721"/>
              <w:pBdr/>
              <w:spacing/>
              <w:ind/>
              <w:jc w:val="left"/>
              <w:rPr/>
            </w:pPr>
            <w:r>
              <w:rPr>
                <w:sz w:val="16"/>
              </w:rPr>
              <w:t xml:space="preserve">Semáforo con el orden de las condiciones invertido</w:t>
            </w:r>
            <w:r/>
          </w:p>
        </w:tc>
        <w:tc>
          <w:tcPr>
            <w:tcBorders/>
            <w:tcW w:w="700" w:type="dxa"/>
            <w:vAlign w:val="center"/>
          </w:tcPr>
          <w:p>
            <w:pPr>
              <w:pStyle w:val="721"/>
              <w:pBdr/>
              <w:spacing/>
              <w:ind/>
              <w:jc w:val="center"/>
              <w:rPr/>
            </w:pPr>
            <w:r>
              <w:rPr>
                <w:sz w:val="16"/>
              </w:rPr>
              <w:t xml:space="preserve">M7 · 7.1</w:t>
            </w:r>
            <w:r/>
          </w:p>
        </w:tc>
        <w:tc>
          <w:tcPr>
            <w:tcBorders/>
            <w:tcW w:w="1150" w:type="dxa"/>
            <w:vAlign w:val="center"/>
          </w:tcPr>
          <w:p>
            <w:pPr>
              <w:pStyle w:val="721"/>
              <w:pBdr/>
              <w:spacing/>
              <w:ind/>
              <w:jc w:val="left"/>
              <w:rPr/>
            </w:pPr>
            <w:r>
              <w:rPr>
                <w:sz w:val="16"/>
              </w:rPr>
              <w:t xml:space="preserve">Heriberto Valencia</w:t>
            </w:r>
            <w:r/>
          </w:p>
        </w:tc>
        <w:tc>
          <w:tcPr>
            <w:tcBorders/>
            <w:tcW w:w="2100" w:type="dxa"/>
            <w:vAlign w:val="center"/>
          </w:tcPr>
          <w:p>
            <w:pPr>
              <w:pStyle w:val="721"/>
              <w:pBdr/>
              <w:spacing/>
              <w:ind/>
              <w:jc w:val="left"/>
              <w:rPr/>
            </w:pPr>
            <w:r>
              <w:rPr>
                <w:sz w:val="16"/>
              </w:rPr>
              <w:t xml:space="preserve">if pct &lt; 80 iba primero → 39,9 devolvía «vigilancia» y la rama «crítico» era código muerto (0 días críticos en 1.756)</w:t>
            </w:r>
            <w:r/>
          </w:p>
        </w:tc>
        <w:tc>
          <w:tcPr>
            <w:tcBorders/>
            <w:tcW w:w="1750" w:type="dxa"/>
            <w:vAlign w:val="center"/>
          </w:tcPr>
          <w:p>
            <w:pPr>
              <w:pStyle w:val="721"/>
              <w:pBdr/>
              <w:spacing/>
              <w:ind/>
              <w:jc w:val="left"/>
              <w:rPr/>
            </w:pPr>
            <w:r>
              <w:rPr>
                <w:sz w:val="16"/>
              </w:rPr>
              <w:t xml:space="preserve">if pct &lt; 40 primero y elif pct &lt; 80 después → 39,9 da «crítico» y 40 da «vigilancia»</w:t>
            </w:r>
            <w:r/>
          </w:p>
        </w:tc>
        <w:tc>
          <w:tcPr>
            <w:tcBorders/>
            <w:tcW w:w="1800" w:type="dxa"/>
            <w:vAlign w:val="center"/>
          </w:tcPr>
          <w:p>
            <w:pPr>
              <w:pStyle w:val="721"/>
              <w:pBdr/>
              <w:spacing/>
              <w:ind/>
              <w:jc w:val="left"/>
              <w:rPr/>
            </w:pPr>
            <w:r>
              <w:rPr>
                <w:sz w:val="16"/>
              </w:rPr>
              <w:t xml:space="preserve">✅ 7.2 en rojo: «Bordes del semáforo (39,9 · 40 · 79,9 · 80)»</w:t>
            </w:r>
            <w:r/>
          </w:p>
        </w:tc>
      </w:tr>
      <w:tr>
        <w:trPr/>
        <w:tc>
          <w:tcPr>
            <w:tcBorders/>
            <w:tcW w:w="1500" w:type="dxa"/>
            <w:vAlign w:val="center"/>
          </w:tcPr>
          <w:p>
            <w:pPr>
              <w:pStyle w:val="721"/>
              <w:pBdr/>
              <w:spacing/>
              <w:ind/>
              <w:jc w:val="left"/>
              <w:rPr/>
            </w:pPr>
            <w:r>
              <w:rPr>
                <w:sz w:val="16"/>
              </w:rPr>
              <w:t xml:space="preserve">El diccionario se reiniciaba dentro del ciclo for</w:t>
            </w:r>
            <w:r/>
          </w:p>
        </w:tc>
        <w:tc>
          <w:tcPr>
            <w:tcBorders/>
            <w:tcW w:w="700" w:type="dxa"/>
            <w:vAlign w:val="center"/>
          </w:tcPr>
          <w:p>
            <w:pPr>
              <w:pStyle w:val="721"/>
              <w:pBdr/>
              <w:spacing/>
              <w:ind/>
              <w:jc w:val="center"/>
              <w:rPr/>
            </w:pPr>
            <w:r>
              <w:rPr>
                <w:sz w:val="16"/>
              </w:rPr>
              <w:t xml:space="preserve">M7 · 7.2</w:t>
            </w:r>
            <w:r/>
          </w:p>
        </w:tc>
        <w:tc>
          <w:tcPr>
            <w:tcBorders/>
            <w:tcW w:w="1150" w:type="dxa"/>
            <w:vAlign w:val="center"/>
          </w:tcPr>
          <w:p>
            <w:pPr>
              <w:pStyle w:val="721"/>
              <w:pBdr/>
              <w:spacing/>
              <w:ind/>
              <w:jc w:val="left"/>
              <w:rPr/>
            </w:pPr>
            <w:r>
              <w:rPr>
                <w:sz w:val="16"/>
              </w:rPr>
              <w:t xml:space="preserve">Heriberto Valencia</w:t>
            </w:r>
            <w:r/>
          </w:p>
        </w:tc>
        <w:tc>
          <w:tcPr>
            <w:tcBorders/>
            <w:tcW w:w="2100" w:type="dxa"/>
            <w:vAlign w:val="center"/>
          </w:tcPr>
          <w:p>
            <w:pPr>
              <w:pStyle w:val="721"/>
              <w:pBdr/>
              <w:spacing/>
              <w:ind/>
              <w:jc w:val="left"/>
              <w:rPr/>
            </w:pPr>
            <w:r>
              <w:rPr>
                <w:sz w:val="16"/>
              </w:rPr>
              <w:t xml:space="preserve">resumenes = {} dentro del for → al terminar solo quedaba la última serie (volumen_gwh) y tabla_resumen tenía 1 fila</w:t>
            </w:r>
            <w:r/>
          </w:p>
        </w:tc>
        <w:tc>
          <w:tcPr>
            <w:tcBorders/>
            <w:tcW w:w="1750" w:type="dxa"/>
            <w:vAlign w:val="center"/>
          </w:tcPr>
          <w:p>
            <w:pPr>
              <w:pStyle w:val="721"/>
              <w:pBdr/>
              <w:spacing/>
              <w:ind/>
              <w:jc w:val="left"/>
              <w:rPr/>
            </w:pPr>
            <w:r>
              <w:rPr>
                <w:sz w:val="16"/>
              </w:rPr>
              <w:t xml:space="preserve">resumenes = {} antes del for → tabla_resumen con las 4 series resumidas</w:t>
            </w:r>
            <w:r/>
          </w:p>
        </w:tc>
        <w:tc>
          <w:tcPr>
            <w:tcBorders/>
            <w:tcW w:w="1800" w:type="dxa"/>
            <w:vAlign w:val="center"/>
          </w:tcPr>
          <w:p>
            <w:pPr>
              <w:pStyle w:val="721"/>
              <w:pBdr/>
              <w:spacing/>
              <w:ind/>
              <w:jc w:val="left"/>
              <w:rPr/>
            </w:pPr>
            <w:r>
              <w:rPr>
                <w:sz w:val="16"/>
              </w:rPr>
              <w:t xml:space="preserve">✅ 7.4 en rojo: «El ciclo guarda las cuatro series»</w:t>
            </w:r>
            <w:r/>
          </w:p>
        </w:tc>
      </w:tr>
      <w:tr>
        <w:trPr/>
        <w:tc>
          <w:tcPr>
            <w:tcBorders/>
            <w:tcW w:w="1500" w:type="dxa"/>
            <w:vAlign w:val="center"/>
          </w:tcPr>
          <w:p>
            <w:pPr>
              <w:pStyle w:val="721"/>
              <w:pBdr/>
              <w:spacing/>
              <w:ind/>
              <w:jc w:val="left"/>
              <w:rPr/>
            </w:pPr>
            <w:r>
              <w:rPr>
                <w:sz w:val="16"/>
              </w:rPr>
              <w:t xml:space="preserve">Reto opcional 7.R: racha_mas_larga sin implementar</w:t>
            </w:r>
            <w:r/>
          </w:p>
        </w:tc>
        <w:tc>
          <w:tcPr>
            <w:tcBorders/>
            <w:tcW w:w="700" w:type="dxa"/>
            <w:vAlign w:val="center"/>
          </w:tcPr>
          <w:p>
            <w:pPr>
              <w:pStyle w:val="721"/>
              <w:pBdr/>
              <w:spacing/>
              <w:ind/>
              <w:jc w:val="center"/>
              <w:rPr/>
            </w:pPr>
            <w:r>
              <w:rPr>
                <w:sz w:val="16"/>
              </w:rPr>
              <w:t xml:space="preserve">M7 · 7.4 (reto)</w:t>
            </w:r>
            <w:r/>
          </w:p>
        </w:tc>
        <w:tc>
          <w:tcPr>
            <w:tcBorders/>
            <w:tcW w:w="1150" w:type="dxa"/>
            <w:vAlign w:val="center"/>
          </w:tcPr>
          <w:p>
            <w:pPr>
              <w:pStyle w:val="721"/>
              <w:pBdr/>
              <w:spacing/>
              <w:ind/>
              <w:jc w:val="left"/>
              <w:rPr/>
            </w:pPr>
            <w:r>
              <w:rPr>
                <w:sz w:val="16"/>
              </w:rPr>
              <w:t xml:space="preserve">Heriberto Valencia</w:t>
            </w:r>
            <w:r/>
          </w:p>
        </w:tc>
        <w:tc>
          <w:tcPr>
            <w:tcBorders/>
            <w:tcW w:w="2100" w:type="dxa"/>
            <w:vAlign w:val="center"/>
          </w:tcPr>
          <w:p>
            <w:pPr>
              <w:pStyle w:val="721"/>
              <w:pBdr/>
              <w:spacing/>
              <w:ind/>
              <w:jc w:val="left"/>
              <w:rPr/>
            </w:pPr>
            <w:r>
              <w:rPr>
                <w:sz w:val="16"/>
              </w:rPr>
              <w:t xml:space="preserve">return None (la función estaba vacía) → el ✅ 7.R fallaba y el cuaderno no mostraba rachas</w:t>
            </w:r>
            <w:r/>
          </w:p>
        </w:tc>
        <w:tc>
          <w:tcPr>
            <w:tcBorders/>
            <w:tcW w:w="1750" w:type="dxa"/>
            <w:vAlign w:val="center"/>
          </w:tcPr>
          <w:p>
            <w:pPr>
              <w:pStyle w:val="721"/>
              <w:pBdr/>
              <w:spacing/>
              <w:ind/>
              <w:jc w:val="left"/>
              <w:rPr/>
            </w:pPr>
            <w:r>
              <w:rPr>
                <w:sz w:val="16"/>
              </w:rPr>
              <w:t xml:space="preserve">contador + mejor: 78 días seguidos por debajo de 40 % y 653 días por debajo de 80 %</w:t>
            </w:r>
            <w:r/>
          </w:p>
        </w:tc>
        <w:tc>
          <w:tcPr>
            <w:tcBorders/>
            <w:tcW w:w="1800" w:type="dxa"/>
            <w:vAlign w:val="center"/>
          </w:tcPr>
          <w:p>
            <w:pPr>
              <w:pStyle w:val="721"/>
              <w:pBdr/>
              <w:spacing/>
              <w:ind/>
              <w:jc w:val="left"/>
              <w:rPr/>
            </w:pPr>
            <w:r>
              <w:rPr>
                <w:sz w:val="16"/>
              </w:rPr>
              <w:t xml:space="preserve">✅ 7.R en rojo: «Racha más larga bajo un umbral»</w:t>
            </w:r>
            <w:r/>
          </w:p>
        </w:tc>
      </w:tr>
      <w:tr>
        <w:trPr/>
        <w:tc>
          <w:tcPr>
            <w:tcBorders/>
            <w:tcW w:w="1500" w:type="dxa"/>
            <w:vAlign w:val="center"/>
          </w:tcPr>
          <w:p>
            <w:pPr>
              <w:pStyle w:val="721"/>
              <w:pBdr/>
              <w:spacing/>
              <w:ind/>
              <w:jc w:val="left"/>
              <w:rPr/>
            </w:pPr>
            <w:r>
              <w:rPr>
                <w:sz w:val="16"/>
              </w:rPr>
              <w:t xml:space="preserve">La variación porcentual dividía por el valor nuevo</w:t>
            </w:r>
            <w:r/>
          </w:p>
        </w:tc>
        <w:tc>
          <w:tcPr>
            <w:tcBorders/>
            <w:tcW w:w="700" w:type="dxa"/>
            <w:vAlign w:val="center"/>
          </w:tcPr>
          <w:p>
            <w:pPr>
              <w:pStyle w:val="721"/>
              <w:pBdr/>
              <w:spacing/>
              <w:ind/>
              <w:jc w:val="center"/>
              <w:rPr/>
            </w:pPr>
            <w:r>
              <w:rPr>
                <w:sz w:val="16"/>
              </w:rPr>
              <w:t xml:space="preserve">M8 · 8.1</w:t>
            </w:r>
            <w:r/>
          </w:p>
        </w:tc>
        <w:tc>
          <w:tcPr>
            <w:tcBorders/>
            <w:tcW w:w="1150" w:type="dxa"/>
            <w:vAlign w:val="center"/>
          </w:tcPr>
          <w:p>
            <w:pPr>
              <w:pStyle w:val="721"/>
              <w:pBdr/>
              <w:spacing/>
              <w:ind/>
              <w:jc w:val="left"/>
              <w:rPr/>
            </w:pPr>
            <w:r>
              <w:rPr>
                <w:sz w:val="16"/>
              </w:rPr>
              <w:t xml:space="preserve">Juan Diego Rubio</w:t>
            </w:r>
            <w:r/>
          </w:p>
        </w:tc>
        <w:tc>
          <w:tcPr>
            <w:tcBorders/>
            <w:tcW w:w="2100" w:type="dxa"/>
            <w:vAlign w:val="center"/>
          </w:tcPr>
          <w:p>
            <w:pPr>
              <w:pStyle w:val="721"/>
              <w:pBdr/>
              <w:spacing/>
              <w:ind/>
              <w:jc w:val="left"/>
              <w:rPr/>
            </w:pPr>
            <w:r>
              <w:rPr>
                <w:sz w:val="16"/>
              </w:rPr>
              <w:t xml:space="preserve">(valor_nuevo - valor_anterior) / valor_nuevo * 100 → de 100 a 150 daba 33 % en vez de 50 %</w:t>
            </w:r>
            <w:r/>
          </w:p>
        </w:tc>
        <w:tc>
          <w:tcPr>
            <w:tcBorders/>
            <w:tcW w:w="1750" w:type="dxa"/>
            <w:vAlign w:val="center"/>
          </w:tcPr>
          <w:p>
            <w:pPr>
              <w:pStyle w:val="721"/>
              <w:pBdr/>
              <w:spacing/>
              <w:ind/>
              <w:jc w:val="left"/>
              <w:rPr/>
            </w:pPr>
            <w:r>
              <w:rPr>
                <w:sz w:val="16"/>
              </w:rPr>
              <w:t xml:space="preserve">/ valor_anterior * 100 → +50 %, que es la definición de variación</w:t>
            </w:r>
            <w:r/>
          </w:p>
        </w:tc>
        <w:tc>
          <w:tcPr>
            <w:tcBorders/>
            <w:tcW w:w="1800" w:type="dxa"/>
            <w:vAlign w:val="center"/>
          </w:tcPr>
          <w:p>
            <w:pPr>
              <w:pStyle w:val="721"/>
              <w:pBdr/>
              <w:spacing/>
              <w:ind/>
              <w:jc w:val="left"/>
              <w:rPr/>
            </w:pPr>
            <w:r>
              <w:rPr>
                <w:sz w:val="16"/>
              </w:rPr>
              <w:t xml:space="preserve">✅ 8.1 en rojo: «Fórmula de variación porcentual»</w:t>
            </w:r>
            <w:r/>
          </w:p>
        </w:tc>
      </w:tr>
      <w:tr>
        <w:trPr/>
        <w:tc>
          <w:tcPr>
            <w:tcBorders/>
            <w:tcW w:w="1500" w:type="dxa"/>
            <w:vAlign w:val="center"/>
          </w:tcPr>
          <w:p>
            <w:pPr>
              <w:pStyle w:val="721"/>
              <w:pBdr/>
              <w:spacing/>
              <w:ind/>
              <w:jc w:val="left"/>
              <w:rPr/>
            </w:pPr>
            <w:r>
              <w:rPr>
                <w:sz w:val="16"/>
              </w:rPr>
              <w:t xml:space="preserve">La línea del día más caro de la ficha no era una f-string</w:t>
            </w:r>
            <w:r/>
          </w:p>
        </w:tc>
        <w:tc>
          <w:tcPr>
            <w:tcBorders/>
            <w:tcW w:w="700" w:type="dxa"/>
            <w:vAlign w:val="center"/>
          </w:tcPr>
          <w:p>
            <w:pPr>
              <w:pStyle w:val="721"/>
              <w:pBdr/>
              <w:spacing/>
              <w:ind/>
              <w:jc w:val="center"/>
              <w:rPr/>
            </w:pPr>
            <w:r>
              <w:rPr>
                <w:sz w:val="16"/>
              </w:rPr>
              <w:t xml:space="preserve">M8 · 8.2</w:t>
            </w:r>
            <w:r/>
          </w:p>
        </w:tc>
        <w:tc>
          <w:tcPr>
            <w:tcBorders/>
            <w:tcW w:w="1150" w:type="dxa"/>
            <w:vAlign w:val="center"/>
          </w:tcPr>
          <w:p>
            <w:pPr>
              <w:pStyle w:val="721"/>
              <w:pBdr/>
              <w:spacing/>
              <w:ind/>
              <w:jc w:val="left"/>
              <w:rPr/>
            </w:pPr>
            <w:r>
              <w:rPr>
                <w:sz w:val="16"/>
              </w:rPr>
              <w:t xml:space="preserve">Juan Diego Rubio</w:t>
            </w:r>
            <w:r/>
          </w:p>
        </w:tc>
        <w:tc>
          <w:tcPr>
            <w:tcBorders/>
            <w:tcW w:w="2100" w:type="dxa"/>
            <w:vAlign w:val="center"/>
          </w:tcPr>
          <w:p>
            <w:pPr>
              <w:pStyle w:val="721"/>
              <w:pBdr/>
              <w:spacing/>
              <w:ind/>
              <w:jc w:val="left"/>
              <w:rPr/>
            </w:pPr>
            <w:r>
              <w:rPr>
                <w:sz w:val="16"/>
              </w:rPr>
              <w:t xml:space="preserve">"… el {fecha_max.date()} con COP {valor_max:,.0f}/kWh" (sin f al principio) → Python imprimía las llaves con el nombre de las variables en vez de los valores</w:t>
            </w:r>
            <w:r/>
          </w:p>
        </w:tc>
        <w:tc>
          <w:tcPr>
            <w:tcBorders/>
            <w:tcW w:w="1750" w:type="dxa"/>
            <w:vAlign w:val="center"/>
          </w:tcPr>
          <w:p>
            <w:pPr>
              <w:pStyle w:val="721"/>
              <w:pBdr/>
              <w:spacing/>
              <w:ind/>
              <w:jc w:val="left"/>
              <w:rPr/>
            </w:pPr>
            <w:r>
              <w:rPr>
                <w:sz w:val="16"/>
              </w:rPr>
              <w:t xml:space="preserve">f"… el {fecha_max.date()} con COP {valor_max:,.0f}/kWh" → la ficha imprime la fecha y el valor</w:t>
            </w:r>
            <w:r/>
          </w:p>
        </w:tc>
        <w:tc>
          <w:tcPr>
            <w:tcBorders/>
            <w:tcW w:w="1800" w:type="dxa"/>
            <w:vAlign w:val="center"/>
          </w:tcPr>
          <w:p>
            <w:pPr>
              <w:pStyle w:val="721"/>
              <w:pBdr/>
              <w:spacing/>
              <w:ind/>
              <w:jc w:val="left"/>
              <w:rPr/>
            </w:pPr>
            <w:r>
              <w:rPr>
                <w:sz w:val="16"/>
              </w:rPr>
              <w:t xml:space="preserve">✅ 8.2 en rojo: «Ficha de cifras sin llaves sueltas»</w:t>
            </w:r>
            <w:r/>
          </w:p>
        </w:tc>
      </w:tr>
    </w:tbl>
    <w:p>
      <w:pPr>
        <w:pStyle w:val="707"/>
        <w:pBdr/>
        <w:spacing w:after="0" w:before="0" w:line="120" w:lineRule="auto"/>
        <w:ind/>
        <w:rPr/>
      </w:pPr>
      <w:r/>
      <w:r/>
    </w:p>
    <w:p>
      <w:pPr>
        <w:pStyle w:val="708"/>
        <w:pBdr/>
        <w:spacing/>
        <w:ind/>
        <w:rPr/>
      </w:pPr>
      <w:r>
        <w:rPr>
          <w:sz w:val="28"/>
        </w:rPr>
        <w:t xml:space="preserve">Referencias</w:t>
      </w:r>
      <w:r/>
    </w:p>
    <w:p>
      <w:pPr>
        <w:pStyle w:val="718"/>
        <w:pBdr/>
        <w:spacing/>
        <w:ind/>
        <w:rPr/>
      </w:pPr>
      <w:r>
        <w:rPr>
          <w:sz w:val="22"/>
        </w:rPr>
        <w:t xml:space="preserve">El Colombiano. (2026, 22 de septiembre). El precio de energía en bolsa se dispara: kilovatio hora llegó a un máximo de $1.513 en septiembre. https://www.elcolombiano.com/negocios/precio-energia-bolsa-colombia-el-nino-tarifas-2026-AB41373245</w:t>
      </w:r>
      <w:r/>
    </w:p>
    <w:p>
      <w:pPr>
        <w:pStyle w:val="718"/>
        <w:pBdr/>
        <w:spacing/>
        <w:ind/>
        <w:rPr/>
      </w:pPr>
      <w:r>
        <w:rPr>
          <w:sz w:val="22"/>
        </w:rPr>
        <w:t xml:space="preserve">El Tiempo. (2026, 7 de mayo)</w:t>
      </w:r>
      <w:r>
        <w:rPr>
          <w:sz w:val="22"/>
        </w:rPr>
        <w:t xml:space="preserve">. Las recomendaciones urgentes de XM para evitar un racionamiento por El Niño. https://www.eltiempo.com/economia/sectores/las-recomendaciones-urgentes-de-xm-para-evitar-un-racionamiento-por-el-nino-podria-ponerse-en-riesgo-la-atencion-de-la-demanda-3553653</w:t>
      </w:r>
      <w:r/>
    </w:p>
    <w:p>
      <w:pPr>
        <w:pStyle w:val="718"/>
        <w:pBdr/>
        <w:spacing/>
        <w:ind/>
        <w:rPr/>
      </w:pPr>
      <w:r>
        <w:rPr>
          <w:sz w:val="22"/>
        </w:rPr>
        <w:t xml:space="preserve">IF</w:t>
      </w:r>
      <w:r>
        <w:rPr>
          <w:sz w:val="22"/>
        </w:rPr>
        <w:t xml:space="preserve">M Noticias. (2026, 19 de octubre). Los embalses cierran la primera mitad de octubre por debajo de la meta y tensionan el sistema eléctrico. https://ifmnoticias.com/economicas/los-embalses-cierran-la-primera-mitad-de-octubre-por-debajo-de-la-meta-y-tension/</w:t>
      </w:r>
      <w:r/>
    </w:p>
    <w:p>
      <w:pPr>
        <w:pStyle w:val="718"/>
        <w:pBdr/>
        <w:spacing/>
        <w:ind/>
        <w:rPr/>
      </w:pPr>
      <w:r>
        <w:rPr>
          <w:sz w:val="22"/>
        </w:rPr>
        <w:t xml:space="preserve">Infobae. (2026, 16 de octubre). El Niño haría que los emba</w:t>
      </w:r>
      <w:r>
        <w:rPr>
          <w:sz w:val="22"/>
        </w:rPr>
        <w:t xml:space="preserve">lses caigan por debajo del 30 % y habría problemas en el sistema eléctrico del país, según XM. https://www.infobae.com/colombia/2026/10/16/el-nino-haria-que-los-embalses-caigan-por-debajo-del-30-y-habria-problemas-en-el-sistema-electrico-del-pais-segun-xm/</w:t>
      </w:r>
      <w:r/>
    </w:p>
    <w:p>
      <w:pPr>
        <w:pStyle w:val="718"/>
        <w:pBdr/>
        <w:spacing/>
        <w:ind/>
        <w:rPr/>
      </w:pPr>
      <w:r>
        <w:rPr>
          <w:sz w:val="22"/>
        </w:rPr>
        <w:t xml:space="preserve">La República. (2026, 17 de octubre). Aún con los aguaceros de octubre, los embalses no superan 75 % de llenado. https://www.larepublica.co/economia/aun-con-los-aguaceros-de-octubre-los-embalses-no-superan-75-de-llenado-4504902</w:t>
      </w:r>
      <w:r/>
    </w:p>
    <w:p>
      <w:pPr>
        <w:pStyle w:val="718"/>
        <w:pBdr/>
        <w:spacing/>
        <w:ind/>
        <w:rPr/>
      </w:pPr>
      <w:r>
        <w:rPr>
          <w:sz w:val="22"/>
        </w:rPr>
        <w:t xml:space="preserve">McKinney, W. (2022). Python for data analysis (3.ª ed.). O'Reilly Media. https://wesmckinney.com/book/</w:t>
      </w:r>
      <w:r/>
    </w:p>
    <w:p>
      <w:pPr>
        <w:pStyle w:val="718"/>
        <w:pBdr/>
        <w:spacing/>
        <w:ind/>
        <w:rPr/>
      </w:pPr>
      <w:r>
        <w:rPr>
          <w:sz w:val="22"/>
        </w:rPr>
        <w:t xml:space="preserve">Microsoft. (2026). Jupyter notebooks in VS Code [Documentación]. https://code.visualstudio.com/docs/datascience/jupyter-notebooks</w:t>
      </w:r>
      <w:r/>
    </w:p>
    <w:p>
      <w:pPr>
        <w:pStyle w:val="718"/>
        <w:pBdr/>
        <w:spacing/>
        <w:ind/>
        <w:rPr/>
      </w:pPr>
      <w:r>
        <w:rPr>
          <w:sz w:val="22"/>
        </w:rPr>
        <w:t xml:space="preserve">VanderPlas, J. (2016). Python data science handbook. O'Reilly Media. https://jakevdp.github.io/PythonDataScienceHandbook/</w:t>
      </w:r>
      <w:r/>
    </w:p>
    <w:p>
      <w:pPr>
        <w:pStyle w:val="718"/>
        <w:pBdr/>
        <w:spacing/>
        <w:ind/>
        <w:rPr/>
      </w:pPr>
      <w:r>
        <w:rPr>
          <w:sz w:val="22"/>
        </w:rPr>
        <w:t xml:space="preserve">Vanguardia</w:t>
      </w:r>
      <w:r>
        <w:rPr>
          <w:sz w:val="22"/>
        </w:rPr>
        <w:t xml:space="preserve">. (2026, 8 de octubre). El fenómeno de El Niño ya fue declarado oficialmente en Colombia: ¿hasta cuándo se extenderá? https://www.vanguardia.com/colombia/2026/10/08/el-fenomeno-de-el-nino-ya-fue-declarado-oficialmente-en-colombia-hasta-cuando-se-extendera/</w:t>
      </w:r>
      <w:r/>
    </w:p>
    <w:p>
      <w:pPr>
        <w:pStyle w:val="718"/>
        <w:pBdr/>
        <w:spacing/>
        <w:ind/>
        <w:rPr/>
      </w:pPr>
      <w:r>
        <w:rPr>
          <w:sz w:val="22"/>
        </w:rPr>
        <w:t xml:space="preserve">Wickham, H. (2014). Tidy data. Journal of Statistical Software, 59(10), 1-23. https://doi.org/10.18637/jss.v059.i10</w:t>
      </w:r>
      <w:r/>
    </w:p>
    <w:p>
      <w:pPr>
        <w:pStyle w:val="718"/>
        <w:pBdr/>
        <w:spacing/>
        <w:ind/>
        <w:rPr/>
      </w:pPr>
      <w:r>
        <w:rPr>
          <w:sz w:val="22"/>
        </w:rPr>
        <w:t xml:space="preserve">XM S.A. E.S.P. (2026). API XM – pydataxm [Repositorio de software]. https://github.com/EquipoAnaliticaXM/API_XM</w:t>
      </w:r>
      <w:r/>
    </w:p>
    <w:p>
      <w:pPr>
        <w:pStyle w:val="717"/>
        <w:pBdr/>
        <w:spacing/>
        <w:ind/>
        <w:rPr/>
      </w:pPr>
      <w:r>
        <w:rPr>
          <w:sz w:val="18"/>
        </w:rPr>
        <w:t xml:space="preserve">Fuente de los datos. Todas las cifras del informe provienen de la API pública de XM (XM S.A. E.S.P., 2026), descargada con la librería oficial pydataxm y guardada en datos/xm_diari</w:t>
      </w:r>
      <w:r>
        <w:rPr>
          <w:sz w:val="18"/>
        </w:rPr>
        <w:t xml:space="preserve">o.csv (1.758 filas, del 2022-01-01 al 2026-10-24). Los gráficos son elaboración propia sobre ese archivo y las consultas de la bitácora y del registro de errores corresponden a las correcciones documentadas en el cuaderno ACA1_Radiografia_Energetica.ipynb.</w:t>
      </w:r>
      <w:r/>
    </w:p>
    <w:sectPr>
      <w:headerReference w:type="default" r:id="rId8"/>
      <w:headerReference w:type="first" r:id="rId9"/>
      <w:footerReference w:type="default" r:id="rId10"/>
      <w:footerReference w:type="first" r:id="rId11"/>
      <w:footnotePr/>
      <w:endnotePr/>
      <w:type w:val="nextPage"/>
      <w:pgSz w:h="16838" w:orient="portrait" w:w="11906"/>
      <w:pgMar w:top="1440" w:right="1440" w:bottom="1440" w:left="1440" w:header="720" w:footer="720" w:gutter="0"/>
      <w:cols w:num="1" w:sep="0" w:space="1701"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6030504020204"/>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26"/>
      <w:pBdr/>
      <w:spacing/>
      <w:ind/>
      <w:rPr/>
    </w:pPr>
    <w:r>
      <w:fldChar w:fldCharType="begin"/>
    </w:r>
    <w:r>
      <w:instrText xml:space="preserve"> PAGE </w:instrText>
    </w:r>
    <w:r>
      <w:fldChar w:fldCharType="separate"/>
    </w:r>
    <w:r>
      <w:t xml:space="preserve">1</w:t>
    </w:r>
    <w:r>
      <w:fldChar w:fldCharType="end"/>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26"/>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25"/>
      <w:pBdr>
        <w:bottom w:val="single" w:color="a8d08d" w:sz="4" w:space="4"/>
      </w:pBdr>
      <w:spacing/>
      <w:ind/>
      <w:rPr/>
    </w:pPr>
    <w:r>
      <w:t xml:space="preserve">ACA 1 · Programación Analítica de Datos e IA · Especialización en Inteligencia Artificial</w: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26"/>
      <w:pBdr/>
      <w:spacing/>
      <w:ind/>
      <w:rPr/>
    </w:pPr>
    <w:r/>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Times New Roman" w:cs="Arial"/>
        <w:sz w:val="22"/>
        <w:szCs w:val="22"/>
        <w:lang w:val="es-CO" w:eastAsia="zh-CN" w:bidi="ar-SA"/>
      </w:rPr>
    </w:rPrDefault>
    <w:pPrDefault>
      <w:pPr>
        <w:pBdr/>
        <w:spacing w:after="60" w:afterAutospacing="0" w:before="0" w:beforeAutospacing="0" w:line="360"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2">
    <w:name w:val="Heading 4"/>
    <w:basedOn w:val="707"/>
    <w:next w:val="707"/>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707"/>
    <w:next w:val="707"/>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707"/>
    <w:next w:val="707"/>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707"/>
    <w:next w:val="707"/>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707"/>
    <w:next w:val="707"/>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707"/>
    <w:next w:val="707"/>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08"/>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09"/>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10"/>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707"/>
    <w:next w:val="707"/>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707"/>
    <w:next w:val="707"/>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707"/>
    <w:next w:val="707"/>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paragraph" w:styleId="165">
    <w:name w:val="List Paragraph"/>
    <w:basedOn w:val="707"/>
    <w:uiPriority w:val="34"/>
    <w:qFormat/>
    <w:pPr>
      <w:pBdr/>
      <w:spacing/>
      <w:ind w:left="720"/>
      <w:contextualSpacing w:val="true"/>
    </w:p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707"/>
    <w:next w:val="707"/>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707"/>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707"/>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707"/>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1">
    <w:name w:val="footnote text"/>
    <w:basedOn w:val="707"/>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707"/>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707"/>
    <w:next w:val="707"/>
    <w:uiPriority w:val="39"/>
    <w:unhideWhenUsed/>
    <w:pPr>
      <w:pBdr/>
      <w:spacing w:after="100"/>
      <w:ind/>
    </w:pPr>
  </w:style>
  <w:style w:type="paragraph" w:styleId="190">
    <w:name w:val="toc 2"/>
    <w:basedOn w:val="707"/>
    <w:next w:val="707"/>
    <w:uiPriority w:val="39"/>
    <w:unhideWhenUsed/>
    <w:pPr>
      <w:pBdr/>
      <w:spacing w:after="100"/>
      <w:ind w:left="220"/>
    </w:pPr>
  </w:style>
  <w:style w:type="paragraph" w:styleId="191">
    <w:name w:val="toc 3"/>
    <w:basedOn w:val="707"/>
    <w:next w:val="707"/>
    <w:uiPriority w:val="39"/>
    <w:unhideWhenUsed/>
    <w:pPr>
      <w:pBdr/>
      <w:spacing w:after="100"/>
      <w:ind w:left="440"/>
    </w:pPr>
  </w:style>
  <w:style w:type="paragraph" w:styleId="192">
    <w:name w:val="toc 4"/>
    <w:basedOn w:val="707"/>
    <w:next w:val="707"/>
    <w:uiPriority w:val="39"/>
    <w:unhideWhenUsed/>
    <w:pPr>
      <w:pBdr/>
      <w:spacing w:after="100"/>
      <w:ind w:left="660"/>
    </w:pPr>
  </w:style>
  <w:style w:type="paragraph" w:styleId="193">
    <w:name w:val="toc 5"/>
    <w:basedOn w:val="707"/>
    <w:next w:val="707"/>
    <w:uiPriority w:val="39"/>
    <w:unhideWhenUsed/>
    <w:pPr>
      <w:pBdr/>
      <w:spacing w:after="100"/>
      <w:ind w:left="880"/>
    </w:pPr>
  </w:style>
  <w:style w:type="paragraph" w:styleId="194">
    <w:name w:val="toc 6"/>
    <w:basedOn w:val="707"/>
    <w:next w:val="707"/>
    <w:uiPriority w:val="39"/>
    <w:unhideWhenUsed/>
    <w:pPr>
      <w:pBdr/>
      <w:spacing w:after="100"/>
      <w:ind w:left="1100"/>
    </w:pPr>
  </w:style>
  <w:style w:type="paragraph" w:styleId="195">
    <w:name w:val="toc 7"/>
    <w:basedOn w:val="707"/>
    <w:next w:val="707"/>
    <w:uiPriority w:val="39"/>
    <w:unhideWhenUsed/>
    <w:pPr>
      <w:pBdr/>
      <w:spacing w:after="100"/>
      <w:ind w:left="1320"/>
    </w:pPr>
  </w:style>
  <w:style w:type="paragraph" w:styleId="196">
    <w:name w:val="toc 8"/>
    <w:basedOn w:val="707"/>
    <w:next w:val="707"/>
    <w:uiPriority w:val="39"/>
    <w:unhideWhenUsed/>
    <w:pPr>
      <w:pBdr/>
      <w:spacing w:after="100"/>
      <w:ind w:left="1540"/>
    </w:pPr>
  </w:style>
  <w:style w:type="paragraph" w:styleId="197">
    <w:name w:val="toc 9"/>
    <w:basedOn w:val="707"/>
    <w:next w:val="707"/>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707"/>
    <w:next w:val="707"/>
    <w:uiPriority w:val="99"/>
    <w:unhideWhenUsed/>
    <w:pPr>
      <w:pBdr/>
      <w:spacing w:after="0" w:afterAutospacing="0"/>
      <w:ind/>
    </w:pPr>
  </w:style>
  <w:style w:type="paragraph" w:styleId="707" w:default="1">
    <w:name w:val="Normal"/>
    <w:qFormat/>
    <w:pPr>
      <w:pBdr/>
      <w:spacing w:after="40" w:before="0" w:line="360" w:lineRule="auto"/>
      <w:ind/>
      <w:jc w:val="both"/>
    </w:pPr>
    <w:rPr>
      <w:rFonts w:ascii="Arial" w:hAnsi="Arial" w:cs="Arial"/>
      <w:sz w:val="22"/>
      <w:szCs w:val="22"/>
    </w:rPr>
  </w:style>
  <w:style w:type="paragraph" w:styleId="708">
    <w:name w:val="Heading 1"/>
    <w:basedOn w:val="707"/>
    <w:next w:val="707"/>
    <w:uiPriority w:val="9"/>
    <w:qFormat/>
    <w:pPr>
      <w:keepNext w:val="true"/>
      <w:keepLines w:val="true"/>
      <w:pBdr/>
      <w:spacing w:after="100" w:before="200" w:line="360" w:lineRule="auto"/>
      <w:ind/>
      <w:jc w:val="left"/>
      <w:outlineLvl w:val="0"/>
    </w:pPr>
    <w:rPr>
      <w:rFonts w:ascii="Arial" w:hAnsi="Arial" w:cs="Arial"/>
      <w:b/>
      <w:bCs/>
      <w:color w:val="375623"/>
      <w:sz w:val="28"/>
      <w:szCs w:val="28"/>
    </w:rPr>
  </w:style>
  <w:style w:type="paragraph" w:styleId="709">
    <w:name w:val="Heading 2"/>
    <w:basedOn w:val="707"/>
    <w:next w:val="707"/>
    <w:uiPriority w:val="9"/>
    <w:qFormat/>
    <w:pPr>
      <w:keepNext w:val="true"/>
      <w:keepLines w:val="true"/>
      <w:pBdr/>
      <w:spacing w:after="100" w:before="200" w:line="360" w:lineRule="auto"/>
      <w:ind/>
      <w:jc w:val="left"/>
      <w:outlineLvl w:val="1"/>
    </w:pPr>
    <w:rPr>
      <w:rFonts w:ascii="Arial" w:hAnsi="Arial" w:cs="Arial"/>
      <w:b/>
      <w:bCs/>
      <w:color w:val="375623"/>
      <w:sz w:val="24"/>
      <w:szCs w:val="24"/>
    </w:rPr>
  </w:style>
  <w:style w:type="paragraph" w:styleId="710">
    <w:name w:val="Heading 3"/>
    <w:basedOn w:val="707"/>
    <w:next w:val="707"/>
    <w:uiPriority w:val="9"/>
    <w:qFormat/>
    <w:pPr>
      <w:keepNext w:val="true"/>
      <w:keepLines w:val="true"/>
      <w:pBdr/>
      <w:spacing w:after="100" w:before="200" w:line="360" w:lineRule="auto"/>
      <w:ind/>
      <w:jc w:val="left"/>
      <w:outlineLvl w:val="2"/>
    </w:pPr>
    <w:rPr>
      <w:rFonts w:ascii="Arial" w:hAnsi="Arial" w:cs="Arial"/>
      <w:b/>
      <w:bCs/>
      <w:i/>
      <w:iCs/>
      <w:color w:val="375623"/>
      <w:sz w:val="22"/>
      <w:szCs w:val="22"/>
    </w:rPr>
  </w:style>
  <w:style w:type="paragraph" w:styleId="711">
    <w:name w:val="Cover Kicker"/>
    <w:pPr>
      <w:pBdr/>
      <w:spacing w:after="60" w:before="0" w:line="240" w:lineRule="auto"/>
      <w:ind/>
      <w:jc w:val="center"/>
    </w:pPr>
    <w:rPr>
      <w:rFonts w:ascii="Arial" w:hAnsi="Arial" w:cs="Arial"/>
      <w:b/>
      <w:bCs/>
      <w:color w:val="375623"/>
      <w:sz w:val="20"/>
      <w:szCs w:val="20"/>
    </w:rPr>
  </w:style>
  <w:style w:type="paragraph" w:styleId="712">
    <w:name w:val="Cover Title"/>
    <w:pPr>
      <w:pBdr/>
      <w:spacing w:after="120" w:before="240" w:line="360" w:lineRule="auto"/>
      <w:ind/>
      <w:jc w:val="center"/>
    </w:pPr>
    <w:rPr>
      <w:rFonts w:ascii="Arial" w:hAnsi="Arial" w:cs="Arial"/>
      <w:b/>
      <w:bCs/>
      <w:color w:val="1f1f1f"/>
      <w:sz w:val="40"/>
      <w:szCs w:val="40"/>
    </w:rPr>
  </w:style>
  <w:style w:type="paragraph" w:styleId="713">
    <w:name w:val="Cover Subtitle"/>
    <w:pPr>
      <w:pBdr/>
      <w:spacing w:after="360" w:before="0" w:line="300" w:lineRule="auto"/>
      <w:ind/>
      <w:jc w:val="center"/>
    </w:pPr>
    <w:rPr>
      <w:rFonts w:ascii="Arial" w:hAnsi="Arial" w:cs="Arial"/>
      <w:i/>
      <w:iCs/>
      <w:color w:val="595959"/>
      <w:sz w:val="26"/>
      <w:szCs w:val="26"/>
    </w:rPr>
  </w:style>
  <w:style w:type="paragraph" w:styleId="714">
    <w:name w:val="Cover Date"/>
    <w:pPr>
      <w:pBdr/>
      <w:spacing w:after="0" w:before="0" w:line="300" w:lineRule="auto"/>
      <w:ind/>
      <w:jc w:val="center"/>
    </w:pPr>
    <w:rPr>
      <w:rFonts w:ascii="Arial" w:hAnsi="Arial" w:cs="Arial"/>
      <w:sz w:val="22"/>
      <w:szCs w:val="22"/>
    </w:rPr>
  </w:style>
  <w:style w:type="paragraph" w:styleId="715">
    <w:name w:val="Meta"/>
    <w:pPr>
      <w:pBdr/>
      <w:spacing w:after="110" w:before="0" w:line="240" w:lineRule="auto"/>
      <w:ind/>
      <w:jc w:val="left"/>
    </w:pPr>
    <w:rPr>
      <w:rFonts w:ascii="Arial" w:hAnsi="Arial" w:cs="Arial"/>
      <w:i/>
      <w:iCs/>
      <w:color w:val="595959"/>
      <w:sz w:val="19"/>
      <w:szCs w:val="19"/>
    </w:rPr>
  </w:style>
  <w:style w:type="paragraph" w:styleId="716">
    <w:name w:val="Require"/>
    <w:pPr>
      <w:pBdr>
        <w:left w:val="single" w:color="a8d08d" w:sz="12" w:space="8"/>
      </w:pBdr>
      <w:spacing w:after="110" w:before="40" w:line="240" w:lineRule="auto"/>
      <w:ind w:left="170"/>
      <w:jc w:val="left"/>
    </w:pPr>
    <w:rPr>
      <w:rFonts w:ascii="Arial" w:hAnsi="Arial" w:cs="Arial"/>
      <w:i/>
      <w:iCs/>
      <w:color w:val="44546a"/>
      <w:sz w:val="19"/>
      <w:szCs w:val="19"/>
    </w:rPr>
  </w:style>
  <w:style w:type="paragraph" w:styleId="717">
    <w:name w:val="Note"/>
    <w:pPr>
      <w:pBdr/>
      <w:spacing w:after="180" w:before="60" w:line="240" w:lineRule="auto"/>
      <w:ind/>
      <w:jc w:val="both"/>
    </w:pPr>
    <w:rPr>
      <w:rFonts w:ascii="Arial" w:hAnsi="Arial" w:cs="Arial"/>
      <w:i/>
      <w:iCs/>
      <w:color w:val="595959"/>
      <w:sz w:val="18"/>
      <w:szCs w:val="18"/>
    </w:rPr>
  </w:style>
  <w:style w:type="paragraph" w:styleId="718">
    <w:name w:val="Reference"/>
    <w:pPr>
      <w:pBdr/>
      <w:spacing w:after="120" w:before="0" w:line="360" w:lineRule="auto"/>
      <w:ind w:firstLine="720"/>
      <w:jc w:val="left"/>
    </w:pPr>
    <w:rPr>
      <w:rFonts w:ascii="Arial" w:hAnsi="Arial" w:cs="Arial"/>
      <w:sz w:val="22"/>
      <w:szCs w:val="22"/>
    </w:rPr>
  </w:style>
  <w:style w:type="paragraph" w:styleId="719">
    <w:name w:val="Caption"/>
    <w:pPr>
      <w:keepNext w:val="true"/>
      <w:keepLines w:val="true"/>
      <w:pBdr/>
      <w:spacing w:after="30" w:before="80" w:line="240" w:lineRule="auto"/>
      <w:ind/>
      <w:jc w:val="left"/>
    </w:pPr>
    <w:rPr>
      <w:rFonts w:ascii="Arial" w:hAnsi="Arial" w:cs="Arial"/>
      <w:color w:val="375623"/>
      <w:sz w:val="18"/>
      <w:szCs w:val="18"/>
    </w:rPr>
  </w:style>
  <w:style w:type="paragraph" w:styleId="720">
    <w:name w:val="Table Head"/>
    <w:pPr>
      <w:pBdr/>
      <w:spacing w:after="0" w:before="0" w:line="240" w:lineRule="auto"/>
      <w:ind/>
      <w:jc w:val="center"/>
    </w:pPr>
    <w:rPr>
      <w:rFonts w:ascii="Arial" w:hAnsi="Arial" w:cs="Arial"/>
      <w:b/>
      <w:bCs/>
      <w:sz w:val="18"/>
      <w:szCs w:val="18"/>
    </w:rPr>
  </w:style>
  <w:style w:type="paragraph" w:styleId="721">
    <w:name w:val="Table Cell"/>
    <w:pPr>
      <w:pBdr/>
      <w:spacing w:after="0" w:before="0" w:line="240" w:lineRule="auto"/>
      <w:ind/>
      <w:jc w:val="left"/>
    </w:pPr>
    <w:rPr>
      <w:rFonts w:ascii="Arial" w:hAnsi="Arial" w:cs="Arial"/>
      <w:sz w:val="18"/>
      <w:szCs w:val="18"/>
    </w:rPr>
  </w:style>
  <w:style w:type="paragraph" w:styleId="722">
    <w:name w:val="Figure Holder"/>
    <w:pPr>
      <w:pBdr/>
      <w:spacing w:after="30" w:before="60" w:line="240" w:lineRule="auto"/>
      <w:ind/>
      <w:jc w:val="center"/>
    </w:pPr>
    <w:rPr>
      <w:rFonts w:ascii="Arial" w:hAnsi="Arial" w:cs="Arial"/>
      <w:sz w:val="22"/>
      <w:szCs w:val="22"/>
    </w:rPr>
  </w:style>
  <w:style w:type="paragraph" w:styleId="723">
    <w:name w:val="Figure Caption"/>
    <w:pPr>
      <w:pBdr/>
      <w:spacing w:after="20" w:before="40" w:line="240" w:lineRule="auto"/>
      <w:ind/>
      <w:jc w:val="center"/>
    </w:pPr>
    <w:rPr>
      <w:rFonts w:ascii="Arial" w:hAnsi="Arial" w:cs="Arial"/>
      <w:sz w:val="18"/>
      <w:szCs w:val="18"/>
    </w:rPr>
  </w:style>
  <w:style w:type="paragraph" w:styleId="724">
    <w:name w:val="Figure Source"/>
    <w:pPr>
      <w:pBdr/>
      <w:spacing w:after="160" w:before="0" w:line="240" w:lineRule="auto"/>
      <w:ind/>
      <w:jc w:val="center"/>
    </w:pPr>
    <w:rPr>
      <w:rFonts w:ascii="Arial" w:hAnsi="Arial" w:cs="Arial"/>
      <w:i/>
      <w:iCs/>
      <w:color w:val="595959"/>
      <w:sz w:val="16"/>
      <w:szCs w:val="16"/>
    </w:rPr>
  </w:style>
  <w:style w:type="paragraph" w:styleId="725">
    <w:name w:val="Header Line"/>
    <w:pPr>
      <w:pBdr/>
      <w:spacing w:after="0" w:before="0" w:line="240" w:lineRule="auto"/>
      <w:ind/>
      <w:jc w:val="center"/>
    </w:pPr>
    <w:rPr>
      <w:rFonts w:ascii="Arial" w:hAnsi="Arial" w:cs="Arial"/>
      <w:color w:val="595959"/>
      <w:sz w:val="16"/>
      <w:szCs w:val="16"/>
    </w:rPr>
  </w:style>
  <w:style w:type="paragraph" w:styleId="726">
    <w:name w:val="Footer Line"/>
    <w:pPr>
      <w:pBdr/>
      <w:spacing w:after="0" w:before="0" w:line="240" w:lineRule="auto"/>
      <w:ind/>
      <w:jc w:val="center"/>
    </w:pPr>
    <w:rPr>
      <w:rFonts w:ascii="Arial" w:hAnsi="Arial" w:cs="Arial"/>
      <w:color w:val="595959"/>
      <w:sz w:val="18"/>
      <w:szCs w:val="18"/>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header" Target="header1.xml" /><Relationship Id="rId9" Type="http://schemas.openxmlformats.org/officeDocument/2006/relationships/header" Target="header2.xml" /><Relationship Id="rId10" Type="http://schemas.openxmlformats.org/officeDocument/2006/relationships/footer" Target="footer1.xml" /><Relationship Id="rId11" Type="http://schemas.openxmlformats.org/officeDocument/2006/relationships/footer" Target="footer2.xml" /><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1</cp:revision>
  <dcterms:modified xsi:type="dcterms:W3CDTF">2026-10-28T16:18:06Z</dcterms:modified>
</cp:coreProperties>
</file>