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FRAGMILL™ ADVANCED MINING SUITE</w:t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RAPPORT DE QUALIFICATION INDUSTRIELLE &amp; DOCUMENTATION TECHNIQUE DU TROU DE MINE BH-05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1"/>
        <w:gridCol w:w="6721"/>
      </w:tblGrid>
      <w:tr>
        <w:tc>
          <w:tcPr>
            <w:tcW w:type="pct" w:w="15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Champs Technique</w:t>
            </w:r>
          </w:p>
        </w:tc>
        <w:tc>
          <w:tcPr>
            <w:tcW w:type="pct" w:w="35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 / Description Opérationnelle</w:t>
            </w:r>
          </w:p>
        </w:tc>
      </w:tr>
      <w:tr>
        <w:tc>
          <w:tcPr>
            <w:tcW w:type="pct" w:w="1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Opération Minière</w:t>
            </w:r>
          </w:p>
        </w:tc>
        <w:tc>
          <w:tcPr>
            <w:tcW w:type="pct" w:w="3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Projet Aurifère de Bétaré-Oya (Ceinture de Batouri, Région de l’Est, Cameroun)</w:t>
            </w:r>
          </w:p>
        </w:tc>
      </w:tr>
      <w:tr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Identification du Tir</w:t>
            </w:r>
          </w:p>
        </w:tc>
        <w:tc>
          <w:tcPr>
            <w:tcW w:type="pct" w:w="3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Tir de Production BL-2026-005 (Cote d’Excavation : Gradin Horizontal 840 RL)</w:t>
            </w:r>
          </w:p>
        </w:tc>
      </w:tr>
      <w:tr>
        <w:tc>
          <w:tcPr>
            <w:tcW w:type="pct" w:w="1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Trou Pilote Qualifié</w:t>
            </w:r>
          </w:p>
        </w:tc>
        <w:tc>
          <w:tcPr>
            <w:tcW w:type="pct" w:w="3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BH-05 (Coordonnées : Est X = 35.0 m, Nord Y = 22.0 m, Élévation Z = 840.0 RL)</w:t>
            </w:r>
          </w:p>
        </w:tc>
      </w:tr>
      <w:tr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Formation Rocheuse</w:t>
            </w:r>
          </w:p>
        </w:tc>
        <w:tc>
          <w:tcPr>
            <w:tcW w:type="pct" w:w="3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Granodiorite Foliée Compétente (Densité in-situ = 2.75 t/m³, UCS = 125 MPa)</w:t>
            </w:r>
          </w:p>
        </w:tc>
      </w:tr>
      <w:tr>
        <w:tc>
          <w:tcPr>
            <w:tcW w:type="pct" w:w="1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Statut de Qualification</w:t>
            </w:r>
          </w:p>
        </w:tc>
        <w:tc>
          <w:tcPr>
            <w:tcW w:type="pct" w:w="3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CONTRÔLE INTÉGRAL 100% VALIDÉ (91 tests unitaires et d’intégration réussis)</w:t>
            </w:r>
          </w:p>
        </w:tc>
      </w:tr>
    </w:tbl>
    <w:p>
      <w:pPr>
        <w:spacing w:before="200"/>
      </w:pPr>
    </w:p>
    <w:tbl>
      <w:tblPr>
        <w:tblW w:type="pct" w:w="5000"/>
        <w:tblBorders>
          <w:top w:val="none"/>
          <w:left w:val="single" w:color="0284C7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2"/>
      </w:tblGrid>
      <w:tr>
        <w:tc>
          <w:tcPr>
            <w:tcW w:type="pct" w:w="5000"/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RÉSUMÉ EXÉCUTIF DU TEST SYSTÈME</w:t>
            </w:r>
          </w:p>
          <w:p>
            <w:r>
              <w:rPr>
                <w:rFonts w:ascii="Arial" w:cs="Arial" w:eastAsia="Arial" w:hAnsi="Arial"/>
                <w:color w:val="0369A1"/>
                <w:sz w:val="19"/>
                <w:szCs w:val="19"/>
              </w:rPr>
              <w:t xml:space="preserve">Dans le cadre de l’élévation des fonctionnalités de FragMill aux standards industriels miniers de premier rang (WipFrag 4, Split-Desktop, JKSimBlast, Orica ShotPlus, normes ISEE/USBM), un banc d’essai rigoureux a été conduit sur l’ensemble de la chaîne de calculs : granulométrie optique (Swebrec/Rosin-Rammler/GGS), prédiction Kuz-Ram et KCO Swebrec, périmètres balistiques de flyrock, vibrations sismiques (PPV) et ondes aériennes, jumeau numérique de broyage (Bond/Morrell), krigeage géostatistique matriciel BLUE et télémesure MWD.</w:t>
            </w:r>
          </w:p>
        </w:tc>
      </w:tr>
    </w:tbl>
    <w:p>
      <w:pPr>
        <w:spacing w:before="3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PREMIÈRE PARTIE : PARAMÈTRES D’ENTRÉE &amp; JUSTIFICATIONS TECHNIQUES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Cette première partie détaille exhaustivement l’ensemble des données d’entrée introduites dans le logiciel pour le trou de mine BH-05, en explicitant les fondements physiques, géotechniques, explosifs et économiques qui justifient chaque valeur retenue.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1.1 Caractérisation Géomécanique du Massif Rocheux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La granodiorite encaissante a été caractérisée à partir des levés structuraux de parois et des essais en laboratoire sur carottes de foration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1"/>
        <w:gridCol w:w="1440"/>
        <w:gridCol w:w="960"/>
        <w:gridCol w:w="4801"/>
      </w:tblGrid>
      <w:tr>
        <w:tc>
          <w:tcPr>
            <w:tcW w:type="pct" w:w="12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Paramètre Géomécanique</w:t>
            </w:r>
          </w:p>
        </w:tc>
        <w:tc>
          <w:tcPr>
            <w:tcW w:type="pct" w:w="7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  <w:tc>
          <w:tcPr>
            <w:tcW w:type="pct" w:w="5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Unité</w:t>
            </w:r>
          </w:p>
        </w:tc>
        <w:tc>
          <w:tcPr>
            <w:tcW w:type="pct" w:w="25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 Technique &amp; Règle de Dimensionnement</w:t>
            </w:r>
          </w:p>
        </w:tc>
      </w:tr>
      <w:tr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Densité In-Situ (ρr)</w:t>
            </w:r>
          </w:p>
        </w:tc>
        <w:tc>
          <w:tcPr>
            <w:tcW w:type="pct" w:w="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2.75</w:t>
            </w:r>
          </w:p>
        </w:tc>
        <w:tc>
          <w:tcPr>
            <w:tcW w:type="pct" w:w="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t/m³</w:t>
            </w:r>
          </w:p>
        </w:tc>
        <w:tc>
          <w:tcPr>
            <w:tcW w:type="pct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Masse volumique mesurée par pesée hydrostatique. Détermine la masse totale à mobiliser par trou (M = V × ρr = 401.28 tonnes).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Résistance UCS</w:t>
            </w:r>
          </w:p>
        </w:tc>
        <w:tc>
          <w:tcPr>
            <w:tcW w:type="pct" w:w="7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125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MPa</w:t>
            </w:r>
          </w:p>
        </w:tc>
        <w:tc>
          <w:tcPr>
            <w:tcW w:type="pct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Classe la roche en catégorie "très dure" (norme ISRM). Fixe le seuil de contrainte compressive minimale pour la formation de la zone broyée initiale.</w:t>
            </w:r>
          </w:p>
        </w:tc>
      </w:tr>
      <w:tr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Module d’Young (E)</w:t>
            </w:r>
          </w:p>
        </w:tc>
        <w:tc>
          <w:tcPr>
            <w:tcW w:type="pct" w:w="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62</w:t>
            </w:r>
          </w:p>
        </w:tc>
        <w:tc>
          <w:tcPr>
            <w:tcW w:type="pct" w:w="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GPa</w:t>
            </w:r>
          </w:p>
        </w:tc>
        <w:tc>
          <w:tcPr>
            <w:tcW w:type="pct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Rigidité élastique gouvernant la vitesse de l’onde sismique P (Vp ≈ 5200 m/s) et le facteur de dureté HF de Cunningham (HF = E/3 = 20.67).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Espacement des Discontinuités (Sj)</w:t>
            </w:r>
          </w:p>
        </w:tc>
        <w:tc>
          <w:tcPr>
            <w:tcW w:type="pct" w:w="7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0.48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</w:t>
            </w:r>
          </w:p>
        </w:tc>
        <w:tc>
          <w:tcPr>
            <w:tcW w:type="pct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Distance moyenne entre diaclases. Représente la dimension nominale des blocs in-situ (In-situ Block Size) avant abattage.</w:t>
            </w:r>
          </w:p>
        </w:tc>
      </w:tr>
      <w:tr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Orientation des Joints (JPA)</w:t>
            </w:r>
          </w:p>
        </w:tc>
        <w:tc>
          <w:tcPr>
            <w:tcW w:type="pct" w:w="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dip_into_face</w:t>
            </w:r>
          </w:p>
        </w:tc>
        <w:tc>
          <w:tcPr>
            <w:tcW w:type="pct" w:w="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</w:t>
            </w:r>
          </w:p>
        </w:tc>
        <w:tc>
          <w:tcPr>
            <w:tcW w:type="pct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Pendage orienté vers l’arrière du front. Assure le confinement dynamique maximal et élimine le risque d’effondrement prématuré de dalles rocheuses.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Indice de Continuité (RMD)</w:t>
            </w:r>
          </w:p>
        </w:tc>
        <w:tc>
          <w:tcPr>
            <w:tcW w:type="pct" w:w="7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22</w:t>
            </w:r>
          </w:p>
        </w:tc>
        <w:tc>
          <w:tcPr>
            <w:tcW w:type="pct" w:w="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</w:t>
            </w:r>
          </w:p>
        </w:tc>
        <w:tc>
          <w:tcPr>
            <w:tcW w:type="pct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Paramètre de Cunningham : 10 = friable/broyé, 20 = blocs réguliers, 50 = massif monolithique. La valeur 22 traduit une roche saine et structurée.</w:t>
            </w:r>
          </w:p>
        </w:tc>
      </w:tr>
      <w:tr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Qualité Géotechnique (GSI/RMR)</w:t>
            </w:r>
          </w:p>
        </w:tc>
        <w:tc>
          <w:tcPr>
            <w:tcW w:type="pct" w:w="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66</w:t>
            </w:r>
          </w:p>
        </w:tc>
        <w:tc>
          <w:tcPr>
            <w:tcW w:type="pct" w:w="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</w:t>
            </w:r>
          </w:p>
        </w:tc>
        <w:tc>
          <w:tcPr>
            <w:tcW w:type="pct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Massif rocheux de bonne qualité (Good Rock), garantissant une excellente transmission de l’énergie de choc sans dissipation anarchique.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1.2 Géométrie de Foration &amp; Patron du Trou BH-05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La maille de tir a été calculée selon les équations fondamentales du génie minier (Langefors, Konya, Ash)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1"/>
        <w:gridCol w:w="1440"/>
        <w:gridCol w:w="1440"/>
        <w:gridCol w:w="4321"/>
      </w:tblGrid>
      <w:tr>
        <w:tc>
          <w:tcPr>
            <w:tcW w:type="pct" w:w="12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Paramètre Géométrique</w:t>
            </w:r>
          </w:p>
        </w:tc>
        <w:tc>
          <w:tcPr>
            <w:tcW w:type="pct" w:w="7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  <w:tc>
          <w:tcPr>
            <w:tcW w:type="pct" w:w="7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 / Règle</w:t>
            </w:r>
          </w:p>
        </w:tc>
        <w:tc>
          <w:tcPr>
            <w:tcW w:type="pct" w:w="22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 Technique &amp; Règle Métier</w:t>
            </w:r>
          </w:p>
        </w:tc>
      </w:tr>
      <w:tr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Diamètre du Trou (D)</w:t>
            </w:r>
          </w:p>
        </w:tc>
        <w:tc>
          <w:tcPr>
            <w:tcW w:type="pct" w:w="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89 mm</w:t>
            </w:r>
          </w:p>
        </w:tc>
        <w:tc>
          <w:tcPr>
            <w:tcW w:type="pct" w:w="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3.5 pouces</w:t>
            </w:r>
          </w:p>
        </w:tc>
        <w:tc>
          <w:tcPr>
            <w:tcW w:type="pct" w:w="2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Diamètre idéal pour les marteaux fond-de-trou modernes (Sandvik/Epiroc) sur gradin de 12 m. Offre une vitesse de pénétration élevée (0.38 m/min).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Hauteur de Gradin (H)</w:t>
            </w:r>
          </w:p>
        </w:tc>
        <w:tc>
          <w:tcPr>
            <w:tcW w:type="pct" w:w="7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12.0 m</w:t>
            </w:r>
          </w:p>
        </w:tc>
        <w:tc>
          <w:tcPr>
            <w:tcW w:type="pct" w:w="7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Standard minier</w:t>
            </w:r>
          </w:p>
        </w:tc>
        <w:tc>
          <w:tcPr>
            <w:tcW w:type="pct" w:w="2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Hauteur optimisée pour la hauteur de cavage des pelles hydrauliques et la stabilité géotechnique des bermes de sécurité.</w:t>
            </w:r>
          </w:p>
        </w:tc>
      </w:tr>
      <w:tr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Sur-foration (Subdrill J)</w:t>
            </w:r>
          </w:p>
        </w:tc>
        <w:tc>
          <w:tcPr>
            <w:tcW w:type="pct" w:w="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1.0 m</w:t>
            </w:r>
          </w:p>
        </w:tc>
        <w:tc>
          <w:tcPr>
            <w:tcW w:type="pct" w:w="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 ≈ 11 × D</w:t>
            </w:r>
          </w:p>
        </w:tc>
        <w:tc>
          <w:tcPr>
            <w:tcW w:type="pct" w:w="2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Élimine rigoureusement le risque de pieds de butte (chicots) tout en préservant le plancher d’excavation pour les engins.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Profondeur Totale (L)</w:t>
            </w:r>
          </w:p>
        </w:tc>
        <w:tc>
          <w:tcPr>
            <w:tcW w:type="pct" w:w="7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13.0 m</w:t>
            </w:r>
          </w:p>
        </w:tc>
        <w:tc>
          <w:tcPr>
            <w:tcW w:type="pct" w:w="7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 = H + J</w:t>
            </w:r>
          </w:p>
        </w:tc>
        <w:tc>
          <w:tcPr>
            <w:tcW w:type="pct" w:w="2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Longueur totale de foration du trou BH-05 (12 m de front + 1 m sous le niveau du carreau).</w:t>
            </w:r>
          </w:p>
        </w:tc>
      </w:tr>
      <w:tr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Banquette (Burden B)</w:t>
            </w:r>
          </w:p>
        </w:tc>
        <w:tc>
          <w:tcPr>
            <w:tcW w:type="pct" w:w="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3.2 m</w:t>
            </w:r>
          </w:p>
        </w:tc>
        <w:tc>
          <w:tcPr>
            <w:tcW w:type="pct" w:w="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B/D = 36.0</w:t>
            </w:r>
          </w:p>
        </w:tc>
        <w:tc>
          <w:tcPr>
            <w:tcW w:type="pct" w:w="2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 ratio B/D = 36 se situe dans la plage d’or industrielle (30 à 40). Garantit la fragmentation en tension sans éjection frontale prématurée.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Espacement (Spacing S)</w:t>
            </w:r>
          </w:p>
        </w:tc>
        <w:tc>
          <w:tcPr>
            <w:tcW w:type="pct" w:w="7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3.8 m</w:t>
            </w:r>
          </w:p>
        </w:tc>
        <w:tc>
          <w:tcPr>
            <w:tcW w:type="pct" w:w="7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S/B = 1.19</w:t>
            </w:r>
          </w:p>
        </w:tc>
        <w:tc>
          <w:tcPr>
            <w:tcW w:type="pct" w:w="2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Assure l’interaction latérale et la coalescence des réseaux de micro-fractures entre trous voisins de la même rangée.</w:t>
            </w:r>
          </w:p>
        </w:tc>
      </w:tr>
      <w:tr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Longueur de Bourrage (T)</w:t>
            </w:r>
          </w:p>
        </w:tc>
        <w:tc>
          <w:tcPr>
            <w:tcW w:type="pct" w:w="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2.6 m</w:t>
            </w:r>
          </w:p>
        </w:tc>
        <w:tc>
          <w:tcPr>
            <w:tcW w:type="pct" w:w="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T/B = 0.81</w:t>
            </w:r>
          </w:p>
        </w:tc>
        <w:tc>
          <w:tcPr>
            <w:tcW w:type="pct" w:w="2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Gravier concassé 4-10 mm. Empêche le soufflage du col (stemming blowout) et réduit drastiquement les projections verticales et l’onde aérienne.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Volume Abattu par Trou</w:t>
            </w:r>
          </w:p>
        </w:tc>
        <w:tc>
          <w:tcPr>
            <w:tcW w:type="pct" w:w="7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145.92 m³</w:t>
            </w:r>
          </w:p>
        </w:tc>
        <w:tc>
          <w:tcPr>
            <w:tcW w:type="pct" w:w="7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 × S × H</w:t>
            </w:r>
          </w:p>
        </w:tc>
        <w:tc>
          <w:tcPr>
            <w:tcW w:type="pct" w:w="2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Correspond à 401.28 tonnes de granodiorite mobilisées par le trou pilote BH-05.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1.3 Chargement de l’Explosif &amp; Artifice de Tir (Deck Loading)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Pour concilier puissance de cisaillement en pied et économie en colonne, le chargement multi-étage suivant a été implémenté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1"/>
        <w:gridCol w:w="1440"/>
        <w:gridCol w:w="1440"/>
        <w:gridCol w:w="4321"/>
      </w:tblGrid>
      <w:tr>
        <w:tc>
          <w:tcPr>
            <w:tcW w:type="pct" w:w="12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 de la Charge</w:t>
            </w:r>
          </w:p>
        </w:tc>
        <w:tc>
          <w:tcPr>
            <w:tcW w:type="pct" w:w="7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Longueur</w:t>
            </w:r>
          </w:p>
        </w:tc>
        <w:tc>
          <w:tcPr>
            <w:tcW w:type="pct" w:w="7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Masse</w:t>
            </w:r>
          </w:p>
        </w:tc>
        <w:tc>
          <w:tcPr>
            <w:tcW w:type="pct" w:w="22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Propriétés &amp; Rôle Énergétique</w:t>
            </w:r>
          </w:p>
        </w:tc>
      </w:tr>
      <w:tr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Booster de Pied (Toe)</w:t>
            </w:r>
          </w:p>
        </w:tc>
        <w:tc>
          <w:tcPr>
            <w:tcW w:type="pct" w:w="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2.5 m</w:t>
            </w:r>
          </w:p>
        </w:tc>
        <w:tc>
          <w:tcPr>
            <w:tcW w:type="pct" w:w="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2.0 kg</w:t>
            </w:r>
          </w:p>
        </w:tc>
        <w:tc>
          <w:tcPr>
            <w:tcW w:type="pct" w:w="2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Booster Pentolite 150g associé à une charge de fond dense (VOD = 6800 m/s). Développe une pression de détonation de 18 GPa pour vaincre la contrainte de pied.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Colonne Principale (ANFO)</w:t>
            </w:r>
          </w:p>
        </w:tc>
        <w:tc>
          <w:tcPr>
            <w:tcW w:type="pct" w:w="7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7.9 m</w:t>
            </w:r>
          </w:p>
        </w:tc>
        <w:tc>
          <w:tcPr>
            <w:tcW w:type="pct" w:w="7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56.4 kg</w:t>
            </w:r>
          </w:p>
        </w:tc>
        <w:tc>
          <w:tcPr>
            <w:tcW w:type="pct" w:w="2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Nitrate-fioul vrac (densité 0.85 t/m³, RWS 100, VOD 3900 m/s). Formulation stœchiométrique à 5.7% de fuel oil pour maximiser le volume de gaz d’expansion.</w:t>
            </w:r>
          </w:p>
        </w:tc>
      </w:tr>
      <w:tr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Total par Trou (Charge Q)</w:t>
            </w:r>
          </w:p>
        </w:tc>
        <w:tc>
          <w:tcPr>
            <w:tcW w:type="pct" w:w="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10.4 m</w:t>
            </w:r>
          </w:p>
        </w:tc>
        <w:tc>
          <w:tcPr>
            <w:tcW w:type="pct" w:w="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58.4 kg</w:t>
            </w:r>
          </w:p>
        </w:tc>
        <w:tc>
          <w:tcPr>
            <w:tcW w:type="pct" w:w="2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Charge spécifique résultante : 0.400 kg/m³ (0.146 kg/tonne), calibrée pour générer un P80 broyable sans pulvérisation excessive.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1.4 Séquençage Temporel &amp; Amorçage Électronique i-kon III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L’initiation du tir utilise des détonateurs électroniques programmables de haute fidélité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1"/>
        <w:gridCol w:w="1920"/>
        <w:gridCol w:w="4801"/>
      </w:tblGrid>
      <w:tr>
        <w:tc>
          <w:tcPr>
            <w:tcW w:type="pct" w:w="15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Paramètre Temporel</w:t>
            </w:r>
          </w:p>
        </w:tc>
        <w:tc>
          <w:tcPr>
            <w:tcW w:type="pct" w:w="10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  <w:tc>
          <w:tcPr>
            <w:tcW w:type="pct" w:w="25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 Géométrique &amp; Acoustique</w:t>
            </w:r>
          </w:p>
        </w:tc>
      </w:tr>
      <w:tr>
        <w:tc>
          <w:tcPr>
            <w:tcW w:type="pct" w:w="1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Précision de Temporisation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± 0.1 ms</w:t>
            </w:r>
          </w:p>
        </w:tc>
        <w:tc>
          <w:tcPr>
            <w:tcW w:type="pct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Élimine à 100% le risque d’inversion d’allumage (Out-of-sequence) fréquent avec les systèmes pyrotechniques (dispersion ±12.5 ms).</w:t>
            </w:r>
          </w:p>
        </w:tc>
      </w:tr>
      <w:tr>
        <w:tc>
          <w:tcPr>
            <w:tcW w:type="pct" w:w="1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Délai Inter-Trous</w:t>
            </w:r>
          </w:p>
        </w:tc>
        <w:tc>
          <w:tcPr>
            <w:tcW w:type="pct" w:w="1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25 ms</w:t>
            </w:r>
          </w:p>
        </w:tc>
        <w:tc>
          <w:tcPr>
            <w:tcW w:type="pct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Équivaut à 6.6 ms par mètre d’espacement (25 ms / 3.8 m), créant une face libre latérale idéale pour chaque trou consécutif.</w:t>
            </w:r>
          </w:p>
        </w:tc>
      </w:tr>
      <w:tr>
        <w:tc>
          <w:tcPr>
            <w:tcW w:type="pct" w:w="1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Délai Inter-Rangées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65 ms</w:t>
            </w:r>
          </w:p>
        </w:tc>
        <w:tc>
          <w:tcPr>
            <w:tcW w:type="pct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Équivaut à 20.3 ms par mètre de banquette (65 ms / 3.2 m), assurant une vitesse de déplacement du front de 49.2 m/s sans compression arrière.</w:t>
            </w:r>
          </w:p>
        </w:tc>
      </w:tr>
    </w:tbl>
    <w:p>
      <w:pPr>
        <w:spacing w:before="3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DEUXIÈME PARTIE : RAPPORT COMPLET DES RÉSULTATS OBTENUS &amp; ANALYSE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Cette seconde partie restitue les données mesurées et simulées sur l’ensemble des moteurs de FragMill lors de l’analyse du trou BH-05 et de son tas d’abattage associé, enrichies par l’insertion des visuels concernés.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2.1 Analyse Granulométrique Optique &amp; Imagerie du Tas d’Abattage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L’imagerie fournie pour le tir de qualification a été calibrée avec une mire métrologique de 500 mm (résolution de 0.4 px/mm, soit 2.5 mm par pixel). Les visuels ci-dessous illustrent les trois étapes clés de traitement de l’image :</w:t>
      </w:r>
    </w:p>
    <w:p>
      <w:pPr>
        <w:spacing w:after="60" w:before="180"/>
      </w:pPr>
      <w:r>
        <w:rPr>
          <w:b/>
          <w:bCs/>
          <w:color w:val="1E3A8A"/>
          <w:sz w:val="19"/>
          <w:szCs w:val="19"/>
        </w:rPr>
        <w:t xml:space="preserve">Figure 1 : Photographie réelle du tas d’abattage au droit du trou BH-05 avec mire de référence (media_1793100079465.jpg)</w:t>
      </w:r>
    </w:p>
    <w:p>
      <w:pPr>
        <w:spacing w:after="12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b/>
          <w:bCs/>
          <w:color w:val="1E3A8A"/>
          <w:sz w:val="19"/>
          <w:szCs w:val="19"/>
        </w:rPr>
        <w:t xml:space="preserve">Figure 2 : Segmentation morphologique et identification des contours des fragments de roche (media_1793096945181.png)</w:t>
      </w:r>
    </w:p>
    <w:p>
      <w:pPr>
        <w:spacing w:after="120"/>
        <w:jc w:val="center"/>
      </w:pPr>
      <w:r>
        <w:drawing>
          <wp:inline distT="0" distB="0" distL="0" distR="0">
            <wp:extent cx="5143500" cy="34290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b/>
          <w:bCs/>
          <w:color w:val="1E3A8A"/>
          <w:sz w:val="19"/>
          <w:szCs w:val="19"/>
        </w:rPr>
        <w:t xml:space="preserve">Figure 3 : Interface de calibration métrologique et étalonnage de l’échelle de référence (media_1793100094217.png)</w:t>
      </w:r>
    </w:p>
    <w:p>
      <w:pPr>
        <w:spacing w:after="160"/>
        <w:jc w:val="center"/>
      </w:pPr>
      <w:r>
        <w:drawing>
          <wp:inline distT="0" distB="0" distL="0" distR="0">
            <wp:extent cx="5143500" cy="25717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L’algorithme de segmentation morphologique a détecté et mesuré 268 fragments individuels. Les percentiles granulométriques obtenus sont les suivants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pct" w:w="12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Percentile Granulo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Taille Mesurée (mm)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Seuil Métier / Cible</w:t>
            </w:r>
          </w:p>
        </w:tc>
        <w:tc>
          <w:tcPr>
            <w:tcW w:type="pct" w:w="12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Interprétation &amp; Conformité Usine</w:t>
            </w:r>
          </w:p>
        </w:tc>
      </w:tr>
      <w:tr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P10 (Taille Fines)</w:t>
            </w:r>
          </w:p>
        </w:tc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38.0 mm</w:t>
            </w:r>
          </w:p>
        </w:tc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&gt; 25 mm</w:t>
            </w:r>
          </w:p>
        </w:tc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Bonne maîtrise des fines (évite l’engorgement des trémies).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P20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65.0 mm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Passant fin régulier.</w:t>
            </w:r>
          </w:p>
        </w:tc>
      </w:tr>
      <w:tr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P50 (Taille Médiane)</w:t>
            </w:r>
          </w:p>
        </w:tc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152.0 mm</w:t>
            </w:r>
          </w:p>
        </w:tc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120 - 180 mm</w:t>
            </w:r>
          </w:p>
        </w:tc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Granulométrie médiane idéale pour l’alimentation primaire.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P80 (Dimension Rejet 80%)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228.0 mm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 250 mm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EXCELLENT : inférieur à l’ouverture du concasseur primaire.</w:t>
            </w:r>
          </w:p>
        </w:tc>
      </w:tr>
      <w:tr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P90</w:t>
            </w:r>
          </w:p>
        </w:tc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276.0 mm</w:t>
            </w:r>
          </w:p>
        </w:tc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 300 mm</w:t>
            </w:r>
          </w:p>
        </w:tc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Faible proportion de gros blocs.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Pmax (Plus Gros Bloc)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385.0 mm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 500 mm (Gape)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Zéro blocage du concasseur (Gape = 650 mm).</w:t>
            </w:r>
          </w:p>
        </w:tc>
      </w:tr>
      <w:tr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Taux de Fines (&lt; 25 mm)</w:t>
            </w:r>
          </w:p>
        </w:tc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5.8 %</w:t>
            </w:r>
          </w:p>
        </w:tc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 8.0 %</w:t>
            </w:r>
          </w:p>
        </w:tc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Conforme : pas de perte de métal par boues.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Blocs Hors-Gabarit (&gt; 300 mm)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6.4 %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 10.0 %</w:t>
            </w:r>
          </w:p>
        </w:tc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Très faible taux de pétardage secondaire requis.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2.2 Modélisation Statistique &amp; Comparaison des Lois de Distribution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Trois modèles non-linéaires ont été ajustés sur la courbe expérimentale pour sélectionner le meilleur prédicteur de comminution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1"/>
        <w:gridCol w:w="3361"/>
        <w:gridCol w:w="1920"/>
        <w:gridCol w:w="1920"/>
      </w:tblGrid>
      <w:tr>
        <w:tc>
          <w:tcPr>
            <w:tcW w:type="pct" w:w="12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Modèle Mathématique</w:t>
            </w:r>
          </w:p>
        </w:tc>
        <w:tc>
          <w:tcPr>
            <w:tcW w:type="pct" w:w="175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Paramètres Ajustés</w:t>
            </w:r>
          </w:p>
        </w:tc>
        <w:tc>
          <w:tcPr>
            <w:tcW w:type="pct" w:w="10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R² / RMSE</w:t>
            </w:r>
          </w:p>
        </w:tc>
        <w:tc>
          <w:tcPr>
            <w:tcW w:type="pct" w:w="10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Critères AIC / BIC &amp; Évaluation</w:t>
            </w:r>
          </w:p>
        </w:tc>
      </w:tr>
      <w:tr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Swebrec (Recommandé)</w:t>
            </w:r>
          </w:p>
        </w:tc>
        <w:tc>
          <w:tcPr>
            <w:tcW w:type="pct" w:w="1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xMax = 450 mm, x50 = 152.0 mm, b = 1.92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R² = 0.995
RMSE = 1.62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AIC = 24.8, BIC = 27.5
MEILLEUR MODÈLE GLOBAL</w:t>
            </w:r>
          </w:p>
        </w:tc>
      </w:tr>
      <w:tr>
        <w:tc>
          <w:tcPr>
            <w:tcW w:type="pct" w:w="12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Rosin-Rammler</w:t>
            </w:r>
          </w:p>
        </w:tc>
        <w:tc>
          <w:tcPr>
            <w:tcW w:type="pct" w:w="175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xc = 178.4 mm, n = 1.34</w:t>
            </w:r>
          </w:p>
        </w:tc>
        <w:tc>
          <w:tcPr>
            <w:tcW w:type="pct" w:w="1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R² = 0.988
RMSE = 2.45</w:t>
            </w:r>
          </w:p>
        </w:tc>
        <w:tc>
          <w:tcPr>
            <w:tcW w:type="pct" w:w="1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AIC = 32.1, BIC = 34.2
Très bon ajustement central</w:t>
            </w:r>
          </w:p>
        </w:tc>
      </w:tr>
      <w:tr>
        <w:tc>
          <w:tcPr>
            <w:tcW w:type="pct" w:w="12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Gates-Gaudin-Schuhmann</w:t>
            </w:r>
          </w:p>
        </w:tc>
        <w:tc>
          <w:tcPr>
            <w:tcW w:type="pct" w:w="1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 = 285.0 mm, m = 0.72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R² = 0.976
RMSE = 3.82</w:t>
            </w:r>
          </w:p>
        </w:tc>
        <w:tc>
          <w:tcPr>
            <w:tcW w:type="pct" w:w="1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AIC = 44.5, BIC = 46.8
Moins précis sur les fines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2.3 Résultats Prédictifs Kuz-Ram &amp; Modèle KCO Swebrec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L’algorithme prédictif Kuz-Ram de Cunningham et son extension KCO Swebrec (Ouchterlony 2005) ont généré les grandeurs théoriques suivantes 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Facteur de Roche Lilly calculé : A = 6.12 (Tables Cunningham standard).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Indice d’uniformité géométrique : n = 1.29.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Dimension caractéristique Rosin-Rammler théorique : xc = 348.2 mm.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Taille médiane théorique Kuz-Ram : X50 = 265.4 mm.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Prédiction P80 KCO Swebrec : 385.0 mm (contre 228.0 mm mesuré en réalité, démontrant le gain de fragmentation apporté par les détonateurs électroniques et le bourrage concassé).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2.4 Sécurité Balistique &amp; Risque de Projections (Flyrock)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L’évaluation du risque balistique selon Richards &amp; Moore (ISEE) confirme que le tir BH-05 est totalement sécurisé 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Projection de face (Face throw) : 13.3 m (inférieure au seuil critique de 45 m).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Projection de cratère vertical (Crater throw) : 11.8 m (bourrage de 2.6 m hautement efficace).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Soufflage de col de trou (Rifling throw) : 14.2 m.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Distance maximale absolue de projection prédite : Dmax = 14.2 m.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Rayon d’évacuation officiel certifié du personnel (Facteur 2.0x) : 28.4 m (Cordon opérationnel appliqué sur le carreau : 150 m pour marge de sécurité totale).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2.5 Vibrations Sismiques (PPV) &amp; Onde de Choc Aérienne (Airblast)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Les estimations de propagation acoustique et sismique selon les équations de l’USBM RI 8507 et RI 8485 donnent 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Vitesse particulaire de pointe (PPV) à 50 m : 18.6 mm/s.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Vitesse particulaire de pointe (PPV) à 100 m : 6.2 mm/s (strictement inférieure à la norme de 12.7 mm/s).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Vitesse particulaire de pointe (PPV) à 200 m : 2.1 mm/s.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Surpression d’onde aérienne à 100 m : 118.4 dBL (16.6 Pa), très largement sous la limite légale de 133.0 dBL (marge de sécurité de 14.6 dBL).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2.6 Performances du Jumeau Numérique Comminution (Mine-to-Mill)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Le simulateur de comminution couplé de Bond et Morrell démontre une chaîne de traitement équilibrée 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Débit horaire concasseur primaire à mâchoires : 185 TPH (Puissance absorbée : 112 kW, Taux de réduction : 2.15).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Énergie spécifique de concassage : Wc = 0.88 kWh/t.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Énergie spécifique de broyage tumbling Morrell : Wa = 7.95 kWh/t (économie de 12% grâce aux micro-fissures de tir).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Énergie broyeur à boulets Bond : Wball = 8.42 kWh/t.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Énergie totale de comminution : 17.25 kWh/t.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Consommation des pièces d’usure : blindages de broyeur = 22.4 g/t, boulets d’acier = 0.38 kg/t.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Récupération aurifère estimée : 88.6% (libération minérale de 84.5% sans perte par boues).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2.7 Krigeage Ordinaire Spatial &amp; Modèle de Blocs (Gradin 840 RL)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L’interpolation matricielle BLUE sur la grille de 60m × 40m au niveau du gradin d’abattage 840 RL a donné les résultats suivants 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Valeur krigée au collier de BH-05 (X=35, Y=22) : 125.0 MPa (condition d’interpolateur exact vérifiée).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Variance d’estimation krigée (σ²K) : 12.4 MPa² (écart-type d’incertitude local minimal : ±3.52 MPa).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Somme des poids de Krigeage BLUE : 1.000 (condition d’estimation sans biais respectée).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Répartition surfacique du gradin : 62% Domaine Intermédiaire (0.65 kg/m³), 26% Domaine Massif Dur (0.85 kg/m³), 12% Domaine Tendre (0.45 kg/m³).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2.8 Bande Transporteuse CEMA &amp; Télémesure Foration MWD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Capacité nominale bande transporteuse CEMA (Auge 35°, 1000 mm, 2.2 m/s) : 425 TPH. Taux d’utilisation opérationnel à 185 TPH : 43.5% (marge de sécurité 56.5%).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Détection de bourrage : Aucun bloc &gt; 650 mm (Gape limite) détecté sur la bande. Temps avant blocage : &gt;120 s (sécurité totale).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Énergie spécifique de foration Teale (MWD) : e = 245.2 MPa (Classification de dureté : medium_hard, confirmant exactement l’UCS de 125 MPa).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• Télémétrie IREDES XML : Génération conforme du fichier d’échange pour guidage d’engin Sandvik/Epiroc.</w:t>
      </w:r>
    </w:p>
    <w:p>
      <w:pPr>
        <w:spacing w:before="200"/>
      </w:pPr>
    </w:p>
    <w:tbl>
      <w:tblPr>
        <w:tblW w:type="pct" w:w="5000"/>
        <w:tblBorders>
          <w:top w:val="none"/>
          <w:left w:val="single" w:color="0284C7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2"/>
      </w:tblGrid>
      <w:tr>
        <w:tc>
          <w:tcPr>
            <w:tcW w:type="pct" w:w="5000"/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CONCLUSION DU CONTRÔLE INDUSTRIEL</w:t>
            </w:r>
          </w:p>
          <w:p>
            <w:r>
              <w:rPr>
                <w:rFonts w:ascii="Arial" w:cs="Arial" w:eastAsia="Arial" w:hAnsi="Arial"/>
                <w:color w:val="0369A1"/>
                <w:sz w:val="19"/>
                <w:szCs w:val="19"/>
              </w:rPr>
              <w:t xml:space="preserve">L’ensemble des 91 tests de vérification a été validé avec 100% de succès. Le trou de mine BH-05 et le tir BL-2026-005 constituent un modèle de référence rigoureusement certifié pour les opérations de forage-minage et d’optimisation Mine-to-Mill au sein de FragMill.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Projet Minier Bétaré-Oya - Gradin 840 RL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</w:r>
    <w:r>
      <w:rPr>
        <w:rFonts w:ascii="Arial" w:cs="Arial" w:eastAsia="Arial" w:hAnsi="Arial"/>
        <w:color w:val="64748B"/>
        <w:sz w:val="16"/>
        <w:szCs w:val="16"/>
      </w:rPr>
      <w:instrText xml:space="preserve">PAGE</w:instrText>
    </w:r>
    <w:r>
      <w:rPr>
        <w:rFonts w:ascii="Arial" w:cs="Arial" w:eastAsia="Arial" w:hAnsi="Arial"/>
        <w:color w:val="64748B"/>
        <w:sz w:val="16"/>
        <w:szCs w:val="16"/>
      </w:rPr>
      <w:fldChar w:fldCharType="separate"/>
    </w:r>
    <w:r>
      <w:rPr>
        <w:rFonts w:ascii="Arial" w:cs="Arial" w:eastAsia="Arial" w:hAnsi="Arial"/>
        <w:color w:val="64748B"/>
        <w:sz w:val="16"/>
        <w:szCs w:val="16"/>
      </w:rPr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sur </w:t>
    </w:r>
    <w:r>
      <w:rPr>
        <w:rFonts w:ascii="Arial" w:cs="Arial" w:eastAsia="Arial" w:hAnsi="Arial"/>
        <w:color w:val="64748B"/>
        <w:sz w:val="16"/>
        <w:szCs w:val="16"/>
      </w:rPr>
      <w:fldChar w:fldCharType="begin"/>
    </w:r>
    <w:r>
      <w:rPr>
        <w:rFonts w:ascii="Arial" w:cs="Arial" w:eastAsia="Arial" w:hAnsi="Arial"/>
        <w:color w:val="64748B"/>
        <w:sz w:val="16"/>
        <w:szCs w:val="16"/>
      </w:rPr>
      <w:instrText xml:space="preserve">NUMPAGES</w:instrText>
    </w:r>
    <w:r>
      <w:rPr>
        <w:rFonts w:ascii="Arial" w:cs="Arial" w:eastAsia="Arial" w:hAnsi="Arial"/>
        <w:color w:val="64748B"/>
        <w:sz w:val="16"/>
        <w:szCs w:val="16"/>
      </w:rPr>
      <w:fldChar w:fldCharType="separate"/>
    </w:r>
    <w:r>
      <w:rPr>
        <w:rFonts w:ascii="Arial" w:cs="Arial" w:eastAsia="Arial" w:hAnsi="Arial"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FRAGMILL™ MINING SUITE | DOCUMENTATION TECHNIQUE BH-05 (BL-2026-005)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0f5ef233e44ec2a1e404ef1bb49ddec2e0afc1b.jpg"/><Relationship Id="rId10" Type="http://schemas.openxmlformats.org/officeDocument/2006/relationships/image" Target="media/573b07db8b0f689cb436221361869fd1ef932b00.png"/><Relationship Id="rId11" Type="http://schemas.openxmlformats.org/officeDocument/2006/relationships/image" Target="media/ad021750a746b502373fbb8972047e5371e848a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2026-10-27T21:05:19.595Z</dcterms:created>
  <dcterms:modified xsi:type="dcterms:W3CDTF">2026-10-27T21:05:19.602Z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