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18A" w:rsidRPr="00F95C4E" w:rsidRDefault="00F95C4E" w:rsidP="00F95C4E">
      <w:pPr>
        <w:pStyle w:val="Titre1"/>
      </w:pPr>
      <w:r w:rsidRPr="00F95C4E">
        <w:t>Page d’analyse des ventes : Répartition des réchauds</w:t>
      </w:r>
    </w:p>
    <w:p w:rsidR="00F95C4E" w:rsidRPr="00F95C4E" w:rsidRDefault="00F95C4E" w:rsidP="00F95C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5C4E">
        <w:rPr>
          <w:rFonts w:ascii="Times New Roman" w:hAnsi="Times New Roman" w:cs="Times New Roman"/>
          <w:sz w:val="24"/>
          <w:szCs w:val="24"/>
        </w:rPr>
        <w:t>Cette section décrit le tableau de bord d’analyse, qui permet de visualiser la répartition de l’inventaire de réchauds par type de modèle au sein du centre de vente.</w:t>
      </w:r>
    </w:p>
    <w:p w:rsidR="00F95C4E" w:rsidRPr="00F95C4E" w:rsidRDefault="00F95C4E" w:rsidP="00F95C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95C4E" w:rsidRPr="00F95C4E" w:rsidRDefault="00F95C4E" w:rsidP="00F95C4E">
      <w:pPr>
        <w:pStyle w:val="Titre2"/>
      </w:pPr>
      <w:r w:rsidRPr="00F95C4E">
        <w:t>Objectif et indicateurs de clés</w:t>
      </w:r>
    </w:p>
    <w:p w:rsidR="00F95C4E" w:rsidRPr="00F95C4E" w:rsidRDefault="00F95C4E" w:rsidP="00F95C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5C4E">
        <w:rPr>
          <w:rFonts w:ascii="Times New Roman" w:hAnsi="Times New Roman" w:cs="Times New Roman"/>
          <w:b/>
          <w:sz w:val="24"/>
          <w:szCs w:val="24"/>
        </w:rPr>
        <w:t>Question fréquente :</w:t>
      </w:r>
      <w:r w:rsidRPr="00F95C4E">
        <w:rPr>
          <w:rFonts w:ascii="Times New Roman" w:hAnsi="Times New Roman" w:cs="Times New Roman"/>
          <w:sz w:val="24"/>
          <w:szCs w:val="24"/>
        </w:rPr>
        <w:t xml:space="preserve"> “Comment savoir quels types de réchauds sont les plus représentés dans mon stock ?” / “Où puis-je voir la répartition des modèles ?”</w:t>
      </w:r>
    </w:p>
    <w:p w:rsidR="00F95C4E" w:rsidRPr="00F95C4E" w:rsidRDefault="00F95C4E" w:rsidP="00F95C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5C4E">
        <w:rPr>
          <w:rFonts w:ascii="Times New Roman" w:hAnsi="Times New Roman" w:cs="Times New Roman"/>
          <w:b/>
          <w:sz w:val="24"/>
          <w:szCs w:val="24"/>
        </w:rPr>
        <w:t>Réponse synthétique :</w:t>
      </w:r>
      <w:r w:rsidRPr="00F95C4E">
        <w:rPr>
          <w:rFonts w:ascii="Times New Roman" w:hAnsi="Times New Roman" w:cs="Times New Roman"/>
          <w:sz w:val="24"/>
          <w:szCs w:val="24"/>
        </w:rPr>
        <w:t xml:space="preserve"> La page d’Analyse des Ventes fournit une vue d’ensemble de l’inventaire total et sa distribution par modèle.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95C4E" w:rsidRPr="00F95C4E" w:rsidTr="00F95C4E">
        <w:tc>
          <w:tcPr>
            <w:tcW w:w="3020" w:type="dxa"/>
          </w:tcPr>
          <w:p w:rsidR="00F95C4E" w:rsidRPr="00F95C4E" w:rsidRDefault="00F95C4E" w:rsidP="00F95C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C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Indicateur</w:t>
            </w:r>
          </w:p>
        </w:tc>
        <w:tc>
          <w:tcPr>
            <w:tcW w:w="3021" w:type="dxa"/>
          </w:tcPr>
          <w:p w:rsidR="00F95C4E" w:rsidRPr="00F95C4E" w:rsidRDefault="00F95C4E" w:rsidP="00F95C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C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3021" w:type="dxa"/>
          </w:tcPr>
          <w:p w:rsidR="00F95C4E" w:rsidRPr="00F95C4E" w:rsidRDefault="00F95C4E" w:rsidP="00F95C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C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Utilité</w:t>
            </w:r>
          </w:p>
        </w:tc>
      </w:tr>
      <w:tr w:rsidR="00F95C4E" w:rsidRPr="00F95C4E" w:rsidTr="00F95C4E">
        <w:tc>
          <w:tcPr>
            <w:tcW w:w="3020" w:type="dxa"/>
          </w:tcPr>
          <w:p w:rsidR="00F95C4E" w:rsidRPr="00F95C4E" w:rsidRDefault="00F95C4E" w:rsidP="00F95C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C4E">
              <w:rPr>
                <w:rFonts w:ascii="Times New Roman" w:hAnsi="Times New Roman" w:cs="Times New Roman"/>
                <w:sz w:val="24"/>
                <w:szCs w:val="24"/>
              </w:rPr>
              <w:t>Nombre total de Réchauds</w:t>
            </w:r>
          </w:p>
        </w:tc>
        <w:tc>
          <w:tcPr>
            <w:tcW w:w="3021" w:type="dxa"/>
          </w:tcPr>
          <w:p w:rsidR="00F95C4E" w:rsidRPr="00F95C4E" w:rsidRDefault="00F95C4E" w:rsidP="00F95C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C4E">
              <w:rPr>
                <w:rFonts w:ascii="Times New Roman" w:hAnsi="Times New Roman" w:cs="Times New Roman"/>
                <w:sz w:val="24"/>
                <w:szCs w:val="24"/>
              </w:rPr>
              <w:t>Aﬀiche la quantité totale de réchauds enregistrés dans l’inventaire.</w:t>
            </w:r>
          </w:p>
        </w:tc>
        <w:tc>
          <w:tcPr>
            <w:tcW w:w="3021" w:type="dxa"/>
          </w:tcPr>
          <w:p w:rsidR="00F95C4E" w:rsidRPr="00F95C4E" w:rsidRDefault="00F95C4E" w:rsidP="00F95C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C4E">
              <w:rPr>
                <w:rFonts w:ascii="Times New Roman" w:hAnsi="Times New Roman" w:cs="Times New Roman"/>
                <w:sz w:val="24"/>
                <w:szCs w:val="24"/>
              </w:rPr>
              <w:t>Permet d’évaluer la taille globale du stock.</w:t>
            </w:r>
          </w:p>
        </w:tc>
      </w:tr>
      <w:tr w:rsidR="00F95C4E" w:rsidRPr="00F95C4E" w:rsidTr="00F95C4E">
        <w:tc>
          <w:tcPr>
            <w:tcW w:w="3020" w:type="dxa"/>
          </w:tcPr>
          <w:p w:rsidR="00F95C4E" w:rsidRPr="00F95C4E" w:rsidRDefault="00F95C4E" w:rsidP="00F95C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C4E">
              <w:rPr>
                <w:rFonts w:ascii="Times New Roman" w:hAnsi="Times New Roman" w:cs="Times New Roman"/>
                <w:sz w:val="24"/>
                <w:szCs w:val="24"/>
              </w:rPr>
              <w:t>Répartition par Type de Réchaud</w:t>
            </w:r>
          </w:p>
        </w:tc>
        <w:tc>
          <w:tcPr>
            <w:tcW w:w="3021" w:type="dxa"/>
          </w:tcPr>
          <w:p w:rsidR="00F95C4E" w:rsidRPr="00F95C4E" w:rsidRDefault="00F95C4E" w:rsidP="00F95C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C4E">
              <w:rPr>
                <w:rFonts w:ascii="Times New Roman" w:hAnsi="Times New Roman" w:cs="Times New Roman"/>
                <w:sz w:val="24"/>
                <w:szCs w:val="24"/>
              </w:rPr>
              <w:t>Une charte graphique illustre la distribution des modèles.</w:t>
            </w:r>
          </w:p>
        </w:tc>
        <w:tc>
          <w:tcPr>
            <w:tcW w:w="3021" w:type="dxa"/>
          </w:tcPr>
          <w:p w:rsidR="00F95C4E" w:rsidRPr="00F95C4E" w:rsidRDefault="00F95C4E" w:rsidP="00F95C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C4E">
              <w:rPr>
                <w:rFonts w:ascii="Times New Roman" w:hAnsi="Times New Roman" w:cs="Times New Roman"/>
                <w:sz w:val="24"/>
                <w:szCs w:val="24"/>
              </w:rPr>
              <w:t>Permet d’identifier les modèles dominants et minoritaires.</w:t>
            </w:r>
          </w:p>
        </w:tc>
      </w:tr>
      <w:tr w:rsidR="00F95C4E" w:rsidRPr="00F95C4E" w:rsidTr="00F95C4E">
        <w:tc>
          <w:tcPr>
            <w:tcW w:w="3020" w:type="dxa"/>
          </w:tcPr>
          <w:p w:rsidR="00F95C4E" w:rsidRPr="00F95C4E" w:rsidRDefault="00F95C4E" w:rsidP="00F95C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C4E">
              <w:rPr>
                <w:rFonts w:ascii="Times New Roman" w:hAnsi="Times New Roman" w:cs="Times New Roman"/>
                <w:w w:val="110"/>
                <w:sz w:val="24"/>
                <w:szCs w:val="24"/>
              </w:rPr>
              <w:t>Pourcentage par Type</w:t>
            </w:r>
          </w:p>
        </w:tc>
        <w:tc>
          <w:tcPr>
            <w:tcW w:w="3021" w:type="dxa"/>
          </w:tcPr>
          <w:p w:rsidR="00F95C4E" w:rsidRPr="00F95C4E" w:rsidRDefault="00F95C4E" w:rsidP="00F95C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C4E">
              <w:rPr>
                <w:rFonts w:ascii="Times New Roman" w:hAnsi="Times New Roman" w:cs="Times New Roman"/>
                <w:sz w:val="24"/>
                <w:szCs w:val="24"/>
              </w:rPr>
              <w:t>Indique la proportion de chaque modèle par rapport au stock total.</w:t>
            </w:r>
          </w:p>
        </w:tc>
        <w:tc>
          <w:tcPr>
            <w:tcW w:w="3021" w:type="dxa"/>
          </w:tcPr>
          <w:p w:rsidR="00F95C4E" w:rsidRPr="00F95C4E" w:rsidRDefault="00F95C4E" w:rsidP="00F95C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C4E">
              <w:rPr>
                <w:rFonts w:ascii="Times New Roman" w:hAnsi="Times New Roman" w:cs="Times New Roman"/>
                <w:sz w:val="24"/>
                <w:szCs w:val="24"/>
              </w:rPr>
              <w:t>Fournit une donnée quantitative pour la gestion.</w:t>
            </w:r>
          </w:p>
          <w:p w:rsidR="00F95C4E" w:rsidRPr="00F95C4E" w:rsidRDefault="00F95C4E" w:rsidP="00F95C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95C4E" w:rsidRPr="00F95C4E" w:rsidRDefault="00F95C4E" w:rsidP="00F95C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95C4E" w:rsidRPr="00F95C4E" w:rsidRDefault="00F95C4E" w:rsidP="00F95C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5C4E">
        <w:rPr>
          <w:rFonts w:ascii="Times New Roman" w:hAnsi="Times New Roman" w:cs="Times New Roman"/>
          <w:b/>
          <w:sz w:val="24"/>
          <w:szCs w:val="24"/>
        </w:rPr>
        <w:t>Note importante :</w:t>
      </w:r>
      <w:r w:rsidRPr="00F95C4E">
        <w:rPr>
          <w:rFonts w:ascii="Times New Roman" w:hAnsi="Times New Roman" w:cs="Times New Roman"/>
          <w:sz w:val="24"/>
          <w:szCs w:val="24"/>
        </w:rPr>
        <w:t xml:space="preserve"> Les données aﬀichées incluent tous les réchauds enregistrés, qu’ils soient actuellement vendus ou encore disponibles en stock.</w:t>
      </w:r>
    </w:p>
    <w:p w:rsidR="00F95C4E" w:rsidRPr="00F95C4E" w:rsidRDefault="00F95C4E" w:rsidP="00F95C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95C4E" w:rsidRPr="00F95C4E" w:rsidRDefault="00F95C4E" w:rsidP="00F95C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5C4E">
        <w:rPr>
          <w:rFonts w:ascii="Times New Roman" w:hAnsi="Times New Roman" w:cs="Times New Roman"/>
          <w:sz w:val="24"/>
          <w:szCs w:val="24"/>
        </w:rPr>
        <w:t>Information fournie par la Charte</w:t>
      </w:r>
    </w:p>
    <w:p w:rsidR="00F95C4E" w:rsidRPr="00F95C4E" w:rsidRDefault="00F95C4E" w:rsidP="00F95C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5C4E">
        <w:rPr>
          <w:rFonts w:ascii="Times New Roman" w:hAnsi="Times New Roman" w:cs="Times New Roman"/>
          <w:sz w:val="24"/>
          <w:szCs w:val="24"/>
        </w:rPr>
        <w:t>La charte de répartition fournit une visualisation immédiate de l’état de votre inventaire :</w:t>
      </w:r>
    </w:p>
    <w:p w:rsidR="00F95C4E" w:rsidRPr="00F95C4E" w:rsidRDefault="00F95C4E" w:rsidP="00F95C4E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5C4E">
        <w:rPr>
          <w:rFonts w:ascii="Times New Roman" w:hAnsi="Times New Roman" w:cs="Times New Roman"/>
          <w:sz w:val="24"/>
          <w:szCs w:val="24"/>
        </w:rPr>
        <w:t>Elle segmente l’inventaire en fonction du modèle de réchaud (</w:t>
      </w:r>
      <w:r w:rsidRPr="00F95C4E">
        <w:rPr>
          <w:rFonts w:ascii="Times New Roman" w:hAnsi="Times New Roman" w:cs="Times New Roman"/>
          <w:sz w:val="24"/>
          <w:szCs w:val="24"/>
        </w:rPr>
        <w:t>exemples :</w:t>
      </w:r>
      <w:r w:rsidRPr="00F95C4E">
        <w:rPr>
          <w:rFonts w:ascii="Times New Roman" w:hAnsi="Times New Roman" w:cs="Times New Roman"/>
          <w:sz w:val="24"/>
          <w:szCs w:val="24"/>
        </w:rPr>
        <w:t xml:space="preserve"> OLI-c, OLI-60b,</w:t>
      </w:r>
      <w:r w:rsidRPr="00F95C4E">
        <w:rPr>
          <w:rFonts w:ascii="Times New Roman" w:hAnsi="Times New Roman" w:cs="Times New Roman"/>
          <w:sz w:val="24"/>
          <w:szCs w:val="24"/>
        </w:rPr>
        <w:t xml:space="preserve"> OLI-45c</w:t>
      </w:r>
      <w:r w:rsidRPr="00F95C4E">
        <w:rPr>
          <w:rFonts w:ascii="Times New Roman" w:hAnsi="Times New Roman" w:cs="Times New Roman"/>
          <w:sz w:val="24"/>
          <w:szCs w:val="24"/>
        </w:rPr>
        <w:t>).</w:t>
      </w:r>
    </w:p>
    <w:p w:rsidR="00F95C4E" w:rsidRPr="00F95C4E" w:rsidRDefault="00F95C4E" w:rsidP="00F95C4E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5C4E">
        <w:rPr>
          <w:rFonts w:ascii="Times New Roman" w:hAnsi="Times New Roman" w:cs="Times New Roman"/>
          <w:sz w:val="24"/>
          <w:szCs w:val="24"/>
        </w:rPr>
        <w:lastRenderedPageBreak/>
        <w:t>Chaque segment de la charte aﬀiche clairement la quantité totale (le nombre) et le pourcentage que ce modèle représente dans l’inventaire global de votre centre.</w:t>
      </w:r>
    </w:p>
    <w:p w:rsidR="00F95C4E" w:rsidRPr="00F95C4E" w:rsidRDefault="00F95C4E" w:rsidP="00F95C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95C4E" w:rsidRPr="00F95C4E" w:rsidRDefault="00F95C4E" w:rsidP="00F95C4E">
      <w:pPr>
        <w:pStyle w:val="Titre2"/>
      </w:pPr>
      <w:r w:rsidRPr="00F95C4E">
        <w:t>Variantes de Questions (pour l’Entraînement RAG)</w:t>
      </w:r>
    </w:p>
    <w:p w:rsidR="00F95C4E" w:rsidRPr="00F95C4E" w:rsidRDefault="00F95C4E" w:rsidP="00F95C4E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5C4E">
        <w:rPr>
          <w:rFonts w:ascii="Times New Roman" w:hAnsi="Times New Roman" w:cs="Times New Roman"/>
          <w:sz w:val="24"/>
          <w:szCs w:val="24"/>
        </w:rPr>
        <w:t>Comment voir la répartition des réchauds par type ?</w:t>
      </w:r>
    </w:p>
    <w:p w:rsidR="00F95C4E" w:rsidRPr="00F95C4E" w:rsidRDefault="00F95C4E" w:rsidP="00F95C4E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5C4E">
        <w:rPr>
          <w:rFonts w:ascii="Times New Roman" w:hAnsi="Times New Roman" w:cs="Times New Roman"/>
          <w:sz w:val="24"/>
          <w:szCs w:val="24"/>
        </w:rPr>
        <w:t>Où trouver le pourcentage de chaque modèle dans mon stock ?</w:t>
      </w:r>
      <w:bookmarkStart w:id="0" w:name="_GoBack"/>
      <w:bookmarkEnd w:id="0"/>
    </w:p>
    <w:p w:rsidR="00F95C4E" w:rsidRPr="00F95C4E" w:rsidRDefault="00F95C4E" w:rsidP="00F95C4E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5C4E">
        <w:rPr>
          <w:rFonts w:ascii="Times New Roman" w:hAnsi="Times New Roman" w:cs="Times New Roman"/>
          <w:sz w:val="24"/>
          <w:szCs w:val="24"/>
        </w:rPr>
        <w:t>Qu’est-ce que la page d’analyse des ventes montre sur les réchauds ?</w:t>
      </w:r>
    </w:p>
    <w:p w:rsidR="00F95C4E" w:rsidRPr="00F95C4E" w:rsidRDefault="00F95C4E" w:rsidP="00F95C4E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5C4E">
        <w:rPr>
          <w:rFonts w:ascii="Times New Roman" w:hAnsi="Times New Roman" w:cs="Times New Roman"/>
          <w:sz w:val="24"/>
          <w:szCs w:val="24"/>
        </w:rPr>
        <w:t>Le nombre total de réchauds inclut-il les réchauds vendus ?</w:t>
      </w:r>
    </w:p>
    <w:p w:rsidR="00F95C4E" w:rsidRPr="00F95C4E" w:rsidRDefault="00F95C4E" w:rsidP="00F95C4E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5C4E">
        <w:rPr>
          <w:rFonts w:ascii="Times New Roman" w:hAnsi="Times New Roman" w:cs="Times New Roman"/>
          <w:sz w:val="24"/>
          <w:szCs w:val="24"/>
        </w:rPr>
        <w:t>Quel est l’objectif de la **charte de répartition</w:t>
      </w:r>
    </w:p>
    <w:p w:rsidR="00F95C4E" w:rsidRPr="00F95C4E" w:rsidRDefault="00F95C4E" w:rsidP="00F95C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95C4E" w:rsidRPr="00F95C4E" w:rsidRDefault="00F95C4E" w:rsidP="00F95C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95C4E" w:rsidRPr="00F95C4E" w:rsidRDefault="00F95C4E" w:rsidP="00F95C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95C4E" w:rsidRPr="00F95C4E" w:rsidRDefault="00F95C4E" w:rsidP="00F95C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F95C4E" w:rsidRPr="00F95C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40DEB"/>
    <w:multiLevelType w:val="hybridMultilevel"/>
    <w:tmpl w:val="470C03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B41C9"/>
    <w:multiLevelType w:val="hybridMultilevel"/>
    <w:tmpl w:val="F7D443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B46D8"/>
    <w:multiLevelType w:val="hybridMultilevel"/>
    <w:tmpl w:val="33861F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C4E"/>
    <w:rsid w:val="00860182"/>
    <w:rsid w:val="00E22311"/>
    <w:rsid w:val="00F9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4ACCF"/>
  <w15:chartTrackingRefBased/>
  <w15:docId w15:val="{76BAA642-A161-493D-9B4D-3DC7A647F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5C4E"/>
    <w:pPr>
      <w:keepNext/>
      <w:keepLines/>
      <w:spacing w:before="480" w:after="24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95C4E"/>
    <w:pPr>
      <w:keepNext/>
      <w:keepLines/>
      <w:spacing w:before="160" w:after="12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Titre3">
    <w:name w:val="heading 3"/>
    <w:basedOn w:val="Normal"/>
    <w:link w:val="Titre3Car"/>
    <w:uiPriority w:val="1"/>
    <w:qFormat/>
    <w:rsid w:val="00F95C4E"/>
    <w:pPr>
      <w:widowControl w:val="0"/>
      <w:autoSpaceDE w:val="0"/>
      <w:autoSpaceDN w:val="0"/>
      <w:spacing w:before="92" w:after="0" w:line="240" w:lineRule="auto"/>
      <w:ind w:left="875" w:right="-3"/>
      <w:outlineLvl w:val="2"/>
    </w:pPr>
    <w:rPr>
      <w:rFonts w:ascii="Palatino Linotype" w:eastAsia="Palatino Linotype" w:hAnsi="Palatino Linotype" w:cs="Palatino Linotype"/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95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1"/>
    <w:rsid w:val="00F95C4E"/>
    <w:rPr>
      <w:rFonts w:ascii="Palatino Linotype" w:eastAsia="Palatino Linotype" w:hAnsi="Palatino Linotype" w:cs="Palatino Linotype"/>
      <w:b/>
      <w:bCs/>
      <w:sz w:val="20"/>
      <w:szCs w:val="20"/>
    </w:rPr>
  </w:style>
  <w:style w:type="paragraph" w:styleId="Corpsdetexte">
    <w:name w:val="Body Text"/>
    <w:basedOn w:val="Normal"/>
    <w:link w:val="CorpsdetexteCar"/>
    <w:uiPriority w:val="1"/>
    <w:qFormat/>
    <w:rsid w:val="00F95C4E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F95C4E"/>
    <w:rPr>
      <w:rFonts w:ascii="Palatino Linotype" w:eastAsia="Palatino Linotype" w:hAnsi="Palatino Linotype" w:cs="Palatino Linotype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F95C4E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F95C4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95C4E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Ronaldo HERITIANA</dc:creator>
  <cp:keywords/>
  <dc:description/>
  <cp:lastModifiedBy>William Ronaldo HERITIANA</cp:lastModifiedBy>
  <cp:revision>1</cp:revision>
  <dcterms:created xsi:type="dcterms:W3CDTF">2025-11-10T12:45:00Z</dcterms:created>
  <dcterms:modified xsi:type="dcterms:W3CDTF">2025-11-10T13:03:00Z</dcterms:modified>
</cp:coreProperties>
</file>