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000"/>
      </w:pPr>
    </w:p>
    <w:p>
      <w:pPr>
        <w:pStyle w:val="Title"/>
        <w:jc w:val="center"/>
      </w:pPr>
      <w:r>
        <w:rPr>
          <w:rFonts w:ascii="STHeiti" w:hAnsi="STHeiti" w:eastAsia="STHeiti"/>
          <w:b/>
          <w:color w:val="000000"/>
          <w:sz w:val="48"/>
        </w:rPr>
        <w:t>LLMGal 模块一测试报告</w:t>
      </w:r>
    </w:p>
    <w:p>
      <w:pPr>
        <w:spacing w:after="840"/>
        <w:jc w:val="center"/>
      </w:pPr>
      <w:r>
        <w:rPr>
          <w:rFonts w:ascii="STHeiti" w:hAnsi="STHeiti" w:eastAsia="STHeiti"/>
          <w:b/>
          <w:color w:val="404040"/>
          <w:sz w:val="28"/>
        </w:rPr>
        <w:t>软件测试与质量保证实践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00000"/>
                <w:sz w:val="19"/>
              </w:rPr>
              <w:t>被测系统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20"/>
              </w:rPr>
              <w:t>LLMGal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00000"/>
                <w:sz w:val="19"/>
              </w:rPr>
              <w:t>测试版本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20"/>
              </w:rPr>
              <w:t>58d657d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00000"/>
                <w:sz w:val="19"/>
              </w:rPr>
              <w:t>测试提交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20"/>
              </w:rPr>
              <w:t>04c2272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00000"/>
                <w:sz w:val="19"/>
              </w:rPr>
              <w:t>测试日期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20"/>
              </w:rPr>
              <w:t>2026-09-11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000000"/>
                <w:sz w:val="19"/>
              </w:rPr>
              <w:t>提交账号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STHeiti" w:hAnsi="STHeiti" w:eastAsia="STHeiti"/>
                <w:b w:val="0"/>
                <w:color w:val="000000"/>
                <w:sz w:val="20"/>
              </w:rPr>
              <w:t>Fang Weijun  GitHub Fangweijun111</w:t>
            </w:r>
          </w:p>
        </w:tc>
      </w:tr>
    </w:tbl>
    <w:p>
      <w:r>
        <w:br w:type="page"/>
      </w:r>
    </w:p>
    <w:p>
      <w:pPr>
        <w:spacing w:after="360"/>
        <w:jc w:val="center"/>
      </w:pPr>
      <w:r>
        <w:rPr>
          <w:rFonts w:ascii="STHeiti" w:hAnsi="STHeiti" w:eastAsia="STHeiti"/>
          <w:b/>
          <w:color w:val="000000"/>
          <w:sz w:val="36"/>
        </w:rPr>
        <w:t>目录</w:t>
      </w:r>
    </w:p>
    <w:p>
      <w:pPr>
        <w:spacing w:after="80"/>
        <w:ind w:left="0"/>
      </w:pPr>
      <w:r>
        <w:rPr>
          <w:rFonts w:ascii="STHeiti" w:hAnsi="STHeiti" w:eastAsia="STHeiti"/>
          <w:b/>
          <w:color w:val="000000"/>
          <w:sz w:val="22"/>
        </w:rPr>
        <w:t>1 被测对象概述</w:t>
      </w:r>
    </w:p>
    <w:p>
      <w:pPr>
        <w:spacing w:after="80"/>
        <w:ind w:left="0"/>
      </w:pPr>
      <w:r>
        <w:rPr>
          <w:rFonts w:ascii="STHeiti" w:hAnsi="STHeiti" w:eastAsia="STHeiti"/>
          <w:b/>
          <w:color w:val="000000"/>
          <w:sz w:val="22"/>
        </w:rPr>
        <w:t>2 测试计划与策略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2.1 测试范围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2.2 测试策略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2.3 测试环境</w:t>
      </w:r>
    </w:p>
    <w:p>
      <w:pPr>
        <w:spacing w:after="80"/>
        <w:ind w:left="0"/>
      </w:pPr>
      <w:r>
        <w:rPr>
          <w:rFonts w:ascii="STHeiti" w:hAnsi="STHeiti" w:eastAsia="STHeiti"/>
          <w:b/>
          <w:color w:val="000000"/>
          <w:sz w:val="22"/>
        </w:rPr>
        <w:t>3 测试用例设计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3.1 用例总览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3.2 典型用例分析</w:t>
      </w:r>
    </w:p>
    <w:p>
      <w:pPr>
        <w:spacing w:after="80"/>
        <w:ind w:left="360"/>
      </w:pPr>
      <w:r>
        <w:rPr>
          <w:rFonts w:ascii="STHeiti" w:hAnsi="STHeiti" w:eastAsia="STHeiti"/>
          <w:b w:val="0"/>
          <w:color w:val="000000"/>
          <w:sz w:val="21"/>
        </w:rPr>
        <w:t>3.3 用例分布</w:t>
      </w:r>
    </w:p>
    <w:p>
      <w:pPr>
        <w:spacing w:after="80"/>
        <w:ind w:left="0"/>
      </w:pPr>
      <w:r>
        <w:rPr>
          <w:rFonts w:ascii="STHeiti" w:hAnsi="STHeiti" w:eastAsia="STHeiti"/>
          <w:b/>
          <w:color w:val="000000"/>
          <w:sz w:val="22"/>
        </w:rPr>
        <w:t>4 自动化测试实现</w:t>
      </w:r>
    </w:p>
    <w:p>
      <w:pPr>
        <w:spacing w:after="80"/>
        <w:ind w:left="0"/>
      </w:pPr>
      <w:r>
        <w:rPr>
          <w:rFonts w:ascii="STHeiti" w:hAnsi="STHeiti" w:eastAsia="STHeiti"/>
          <w:b/>
          <w:color w:val="000000"/>
          <w:sz w:val="22"/>
        </w:rPr>
        <w:t>5 执行结果与缺陷</w:t>
      </w:r>
    </w:p>
    <w:p>
      <w:pPr>
        <w:spacing w:after="80"/>
        <w:ind w:left="0"/>
      </w:pPr>
      <w:r>
        <w:rPr>
          <w:rFonts w:ascii="STHeiti" w:hAnsi="STHeiti" w:eastAsia="STHeiti"/>
          <w:b/>
          <w:color w:val="000000"/>
          <w:sz w:val="22"/>
        </w:rPr>
        <w:t>6 小组成员贡献度</w:t>
      </w:r>
    </w:p>
    <w:p>
      <w:r>
        <w:br w:type="page"/>
      </w:r>
    </w:p>
    <w:p>
      <w:pPr>
        <w:pStyle w:val="1"/>
      </w:pPr>
      <w:r>
        <w:rPr>
          <w:rFonts w:ascii="STHeiti" w:hAnsi="STHeiti" w:eastAsia="STHeiti"/>
          <w:b/>
          <w:color w:val="000000"/>
          <w:sz w:val="32"/>
        </w:rPr>
        <w:t>1 被测对象概述</w:t>
      </w:r>
    </w:p>
    <w:p>
      <w:r>
        <w:rPr>
          <w:rFonts w:ascii="STHeiti" w:hAnsi="STHeiti" w:eastAsia="STHeiti"/>
          <w:b w:val="0"/>
          <w:color w:val="000000"/>
          <w:sz w:val="21"/>
        </w:rPr>
        <w:t>LLMGal 是 Vue 3 与 FastAPI 构成的多模态角色聊天原型。前端通过 WebSocket 发送角色、文本模型、音色和图片模式；后端调用文本、语音和图片服务，并维护角色资源 URL 与 0 到 9 的循环索引。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被测模块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代码规模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Connect.py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请求模型、WebSocket 协议、错误信封和 ACK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267 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Integration.py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情绪解析、服务编排、Records 状态与并发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203 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Text.py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角色提示词和文本模型流式响应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69 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Voice.py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语音请求、异常处理和 Base64 文件保存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103 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Image.py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静态图片检查、图生图和文生图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192 行</w:t>
            </w:r>
          </w:p>
        </w:tc>
      </w:tr>
    </w:tbl>
    <w:p>
      <w:pPr>
        <w:spacing w:after="40"/>
      </w:pPr>
    </w:p>
    <w:p>
      <w:r>
        <w:rPr>
          <w:rFonts w:ascii="STHeiti" w:hAnsi="STHeiti" w:eastAsia="STHeiti"/>
          <w:b w:val="0"/>
          <w:color w:val="000000"/>
          <w:sz w:val="21"/>
        </w:rPr>
        <w:t>五个模块共 834 行。测试重点是可以确定性判断的协议、分支、映射、异常和文件状态；生成内容质量不属于本轮范围。</w:t>
      </w:r>
    </w:p>
    <w:p>
      <w:pPr>
        <w:pStyle w:val="1"/>
      </w:pPr>
      <w:r>
        <w:rPr>
          <w:rFonts w:ascii="STHeiti" w:hAnsi="STHeiti" w:eastAsia="STHeiti"/>
          <w:b/>
          <w:color w:val="000000"/>
          <w:sz w:val="32"/>
        </w:rPr>
        <w:t>2 测试计划与策略</w:t>
      </w: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2.1 测试范围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测试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WebSocket 消息校验、成功和错误响应、ACK、断连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协议结果确定且影响主流程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测试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音色与情绪映射、图片模式、资源索引、异常回退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分支和边界可通过替身验证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测试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TTS Base64、超时和非 JSON；静态图片完整性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文件副作用和异常结果可重复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不测试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真实 LLM、TTS、图像 API 可用性及生成质量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依赖网络、余额和随机输出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不测试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完整前端页面和生产服务器性能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属于后续集成、系统和性能测试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2.2 测试策略</w:t>
      </w:r>
    </w:p>
    <w:p>
      <w:r>
        <w:rPr>
          <w:rFonts w:ascii="STHeiti" w:hAnsi="STHeiti" w:eastAsia="STHeiti"/>
          <w:b w:val="0"/>
          <w:color w:val="000000"/>
          <w:sz w:val="21"/>
        </w:rPr>
        <w:t>黑盒设计采用等价类、边界值和场景法。等价类覆盖合法与缺失字段、未知音色、非法 Base64 和异常记录；边界值覆盖情绪括号数量、七张静态图阈值以及索引 8、9、0；场景法覆盖主流程、实时图片回退、ACK 与并发状态。</w:t>
      </w:r>
    </w:p>
    <w:p>
      <w:r>
        <w:rPr>
          <w:rFonts w:ascii="STHeiti" w:hAnsi="STHeiti" w:eastAsia="STHeiti"/>
          <w:b w:val="0"/>
          <w:color w:val="000000"/>
          <w:sz w:val="21"/>
        </w:rPr>
        <w:t>白盒测试依据条件分支和异常路径设置 Mock 返回值或抛出异常，并检查外部调用次数、参数和文件副作用。所有 HTTP 请求默认被测试夹具阻断，只有显式 Mock 的请求能够执行。</w:t>
      </w: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2.3 测试环境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硬件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Apple M4，24 GB 内存，arm64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macOS 26.6.2，Build 25G83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3.11.15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测试框架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pytest 8.4.1，pytest-asyncio 1.0.0，pytest-cov 6.2.1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外部依赖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文本、语音、图片服务全部使用固定返回值/异常的 Mock 或 Stub；不调用真实模型，不使用真实密钥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一键命令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./scripts/run_module1_tests.sh -q</w:t>
            </w:r>
          </w:p>
        </w:tc>
      </w:tr>
    </w:tbl>
    <w:p>
      <w:pPr>
        <w:spacing w:after="40"/>
      </w:pPr>
    </w:p>
    <w:p>
      <w:pPr>
        <w:pStyle w:val="1"/>
      </w:pPr>
      <w:r>
        <w:rPr>
          <w:rFonts w:ascii="STHeiti" w:hAnsi="STHeiti" w:eastAsia="STHeiti"/>
          <w:b/>
          <w:color w:val="000000"/>
          <w:sz w:val="32"/>
        </w:rPr>
        <w:t>3 测试用例设计</w:t>
      </w: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3.1 用例总览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总用例数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自动化用例数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自动化率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设计方法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等价类 14  边界值 8  场景法 12</w:t>
            </w:r>
          </w:p>
        </w:tc>
      </w:tr>
    </w:tbl>
    <w:p>
      <w:pPr>
        <w:spacing w:after="40"/>
      </w:pPr>
    </w:p>
    <w:p>
      <w:r>
        <w:rPr>
          <w:rFonts w:ascii="STHeiti" w:hAnsi="STHeiti" w:eastAsia="STHeiti"/>
          <w:b w:val="0"/>
          <w:color w:val="000000"/>
          <w:sz w:val="21"/>
        </w:rPr>
        <w:t>所有用例均可由 pytest 一键执行，超过模板要求的 30 条总用例和 24 条自动化用例。编号与测试函数映射见 docs/module1/test-case-results.csv。</w:t>
      </w: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3.2 典型用例分析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6"/>
              </w:rPr>
              <w:t>输入与操作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6"/>
              </w:rPr>
              <w:t>设计依据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TC-WS-08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触发 JSON_PARSE_ERROR 并检查返回对象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错误消息满足前端统一信封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跨端协议场景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TC-CFG-01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删除 textModel_config.modelText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单个 VALIDATION_ERROR 且不调用编排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无效等价类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TC-TTS-04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TTS 返回 Base64 字符串 %%%%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返回空路径且不创建零字节文件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非法等价类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TC-IMG-04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实时图函数抛出 URL 失效异常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回退文生图并更新 Records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异常恢复场景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TC-RES-02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Records 中 index 为 9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使用 9 号槽并将下次索引写为 0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上边界与回绕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TC-CON-01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两个线程同时请求同一角色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获得不同槽位，最终索引递增两次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6"/>
              </w:rPr>
              <w:t>共享状态场景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3.3 用例分布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用例数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WebSocket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配置校验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文本与情绪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语音服务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图片服务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资源状态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ACK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并发状态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34</w:t>
            </w:r>
          </w:p>
        </w:tc>
      </w:tr>
    </w:tbl>
    <w:p>
      <w:pPr>
        <w:spacing w:after="40"/>
      </w:pPr>
    </w:p>
    <w:p>
      <w:pPr>
        <w:pStyle w:val="1"/>
      </w:pPr>
      <w:r>
        <w:rPr>
          <w:rFonts w:ascii="STHeiti" w:hAnsi="STHeiti" w:eastAsia="STHeiti"/>
          <w:b/>
          <w:color w:val="000000"/>
          <w:sz w:val="32"/>
        </w:rPr>
        <w:t>4 自动化测试实现</w:t>
      </w: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4.1 测试框架与架构</w:t>
      </w:r>
    </w:p>
    <w:p>
      <w:r>
        <w:rPr>
          <w:rFonts w:ascii="STHeiti" w:hAnsi="STHeiti" w:eastAsia="STHeiti"/>
          <w:b w:val="0"/>
          <w:color w:val="000000"/>
          <w:sz w:val="21"/>
        </w:rPr>
        <w:t>测试使用 pytest，并按协议、业务编排和服务适配拆成三个文件。conftest.py 负责导入路径、第三方 SDK Stub 和全局网络阻断；tmp_path 隔离 Records、图片和音频文件；monkeypatch 为文本、语音、图片依赖提供预先写定的固定回复或固定异常。整个模块一测试过程不调用大模型。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test_websocket_protocol.py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14 条协议、配置、断连和 ACK 用例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test_integration_cases.py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13 条情绪、图片、资源、异常和并发用例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test_service_cases.py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7 条角色提示词、TTS 和静态图片用例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run_module1_tests.sh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创建独立环境、运行套件、输出覆盖率和 JUnit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4.2 关键实现说明</w:t>
      </w:r>
    </w:p>
    <w:p>
      <w:r>
        <w:rPr>
          <w:rFonts w:ascii="STHeiti" w:hAnsi="STHeiti" w:eastAsia="STHeiti"/>
          <w:b w:val="0"/>
          <w:color w:val="000000"/>
          <w:sz w:val="21"/>
        </w:rPr>
        <w:t>以下代码片段共 24 行，展示网络阻断、临时状态文件和同角色并发断言。</w:t>
      </w:r>
    </w:p>
    <w:p>
      <w:pPr>
        <w:spacing w:before="80" w:after="160"/>
        <w:ind w:left="288" w:right="288"/>
        <w:shd w:fill="F2F2F2"/>
      </w:pPr>
      <w:r>
        <w:rPr>
          <w:rFonts w:ascii="Menlo" w:hAnsi="Menlo" w:eastAsia="STHeiti"/>
          <w:b w:val="0"/>
          <w:color w:val="000000"/>
          <w:sz w:val="16"/>
        </w:rPr>
        <w:t>@pytest.fixture(autouse=True)</w:t>
        <w:br/>
        <w:t>def block_unmocked_http(monkeypatch):</w:t>
        <w:br/>
        <w:t xml:space="preserve">    def blocked(*_args, **_kwargs):</w:t>
        <w:br/>
        <w:t xml:space="preserve">        raise AssertionError("模块一测试禁止访问真实网络")</w:t>
        <w:br/>
        <w:t xml:space="preserve">    monkeypatch.setattr("requests.sessions.Session.request", blocked)</w:t>
        <w:br/>
        <w:br/>
        <w:t>def prepare_static(monkeypatch, tmp_path, answer, index="3"):</w:t>
        <w:br/>
        <w:t xml:space="preserve">    records = tmp_path / "Records.txt"</w:t>
        <w:br/>
        <w:t xml:space="preserve">    write_records(records, index=index)</w:t>
        <w:br/>
        <w:t xml:space="preserve">    monkeypatch.setattr(Integration, "RECORDS_PATH", records)</w:t>
        <w:br/>
        <w:t xml:space="preserve">    monkeypatch.setattr(Integration, "get_llm_response",</w:t>
        <w:br/>
        <w:t xml:space="preserve">                        lambda *_args: answer)</w:t>
        <w:br/>
        <w:t xml:space="preserve">    return records</w:t>
        <w:br/>
        <w:br/>
        <w:t>with ThreadPoolExecutor(max_workers=2) as executor:</w:t>
        <w:br/>
        <w:t xml:space="preserve">    results = list(executor.map(lambda _: invoke(), range(2)))</w:t>
        <w:br/>
        <w:t>assert {result[1] for result in results} == {"3", "4"}</w:t>
        <w:br/>
        <w:t>assert "index:5" in records.read_text(encoding="utf-8")</w:t>
      </w:r>
    </w:p>
    <w:p>
      <w:pPr>
        <w:pStyle w:val="1"/>
      </w:pPr>
      <w:r>
        <w:rPr>
          <w:rFonts w:ascii="STHeiti" w:hAnsi="STHeiti" w:eastAsia="STHeiti"/>
          <w:b/>
          <w:color w:val="000000"/>
          <w:sz w:val="32"/>
        </w:rPr>
        <w:t>5 执行结果与缺陷</w:t>
      </w: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5.1 执行结果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8"/>
              </w:rPr>
              <w:t>通过率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WebSocket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配置校验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文本与情绪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语音服务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图片服务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资源状态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ACK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并发状态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8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STHeiti" w:hAnsi="STHeiti" w:eastAsia="STHeiti"/>
          <w:b w:val="0"/>
          <w:color w:val="000000"/>
          <w:sz w:val="21"/>
        </w:rPr>
        <w:t>最终回归命令于 2026-09-11 在 Python 3.11.15 环境执行，耗时 1.24 秒。五个选定模块的合计语句覆盖率为 74%；单模块覆盖率为 Connect 85%、Integration 90%、Text 67%、Voice 89%、Image 32%。覆盖率用于说明本轮触达范围，不等同于用例通过率。</w:t>
      </w: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5.2 缺陷摘要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rPr>
          <w:tblHeader w:val="true"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严重程度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发现方式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BUG-001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错误消息被前端判为无效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自动化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已关闭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BUG-002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处理异常后又访问未赋值响应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严重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自动化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已关闭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BUG-003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嵌套配置缺字段仍通过入口校验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高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自动化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已关闭</w:t>
            </w:r>
          </w:p>
        </w:tc>
      </w:tr>
    </w:tbl>
    <w:p>
      <w:pPr>
        <w:spacing w:after="40"/>
      </w:pP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5.3 典型缺陷根因分析</w:t>
      </w:r>
    </w:p>
    <w:p>
      <w:r>
        <w:rPr>
          <w:rFonts w:ascii="STHeiti" w:hAnsi="STHeiti" w:eastAsia="STHeiti"/>
          <w:b w:val="0"/>
          <w:color w:val="000000"/>
          <w:sz w:val="21"/>
        </w:rPr>
        <w:t>BUG-001 由前后端协议定义分离造成。修复前 send_error 发送扁平字段，前端要求 message_id 和 payload。基线测试失败后，后端统一错误信封；TC-WS-08 回归通过。</w:t>
      </w:r>
    </w:p>
    <w:p>
      <w:r>
        <w:rPr>
          <w:rFonts w:ascii="STHeiti" w:hAnsi="STHeiti" w:eastAsia="STHeiti"/>
          <w:b w:val="0"/>
          <w:color w:val="000000"/>
          <w:sz w:val="21"/>
        </w:rPr>
        <w:t>BUG-002 是异常分支控制流错误。process_query 失败后未 continue，程序继续读取 resp 并产生第二个异常。修复后失败分支只发送一次 PROCESS_ERROR；相关配置和模型拒绝场景均通过。</w:t>
      </w:r>
    </w:p>
    <w:p>
      <w:r>
        <w:rPr>
          <w:rFonts w:ascii="STHeiti" w:hAnsi="STHeiti" w:eastAsia="STHeiti"/>
          <w:b w:val="0"/>
          <w:color w:val="000000"/>
          <w:sz w:val="21"/>
        </w:rPr>
        <w:t>BUG-003 是数据模型粒度不足。ClientRequest 把两组配置声明为 dict，Pydantic 无法检查内部必填字段。新增两个嵌套模型后，缺字段请求在外部调用前返回 VALIDATION_ERROR；TC-CFG-01 和 TC-CFG-02 通过。</w:t>
      </w:r>
    </w:p>
    <w:p>
      <w:pPr>
        <w:pStyle w:val="2"/>
      </w:pPr>
      <w:r>
        <w:rPr>
          <w:rFonts w:ascii="STHeiti" w:hAnsi="STHeiti" w:eastAsia="STHeiti"/>
          <w:b/>
          <w:color w:val="000000"/>
          <w:sz w:val="26"/>
        </w:rPr>
        <w:t>5.4 质量评估结论</w:t>
      </w:r>
    </w:p>
    <w:p>
      <w:r>
        <w:rPr>
          <w:rFonts w:ascii="STHeiti" w:hAnsi="STHeiti" w:eastAsia="STHeiti"/>
          <w:b w:val="0"/>
          <w:color w:val="000000"/>
          <w:sz w:val="21"/>
        </w:rPr>
        <w:t>模块一隔离范围达到测试通过标准：34 条用例全部通过，三项高优先级缺陷已关闭，协议和资源状态的核心回归可由本地脚本和 GitHub Actions 重复执行。完整系统仍不建议直接发布，因为真实第三方服务、生成内容质量、前端 TypeScript 构建和多进程服务器状态尚未纳入本轮验证。现场演示以本地一键测试为主，GitHub Actions 作为远程复现证据。</w:t>
      </w:r>
    </w:p>
    <w:p>
      <w:pPr>
        <w:pStyle w:val="1"/>
      </w:pPr>
      <w:r>
        <w:rPr>
          <w:rFonts w:ascii="STHeiti" w:hAnsi="STHeiti" w:eastAsia="STHeiti"/>
          <w:b/>
          <w:color w:val="000000"/>
          <w:sz w:val="32"/>
        </w:rPr>
        <w:t>6 小组成员贡献度</w:t>
      </w:r>
    </w:p>
    <w:tbl>
      <w:tblPr>
        <w:tblStyle w:val="a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成员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具体工作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Git 证据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17"/>
              </w:rPr>
              <w:t>工作量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Fang Weijun</w:t>
              <w:br/>
              <w:t>GitHub Fangweijun111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维护被测代码、测试环境、34 条自动化用例、缺陷修复、执行证据和报告复核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de40452  58d657d  04c2272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STHeiti" w:hAnsi="STHeiti" w:eastAsia="STHeiti"/>
                <w:b w:val="0"/>
                <w:color w:val="000000"/>
                <w:sz w:val="17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STHeiti" w:hAnsi="STHeiti" w:eastAsia="STHeiti"/>
          <w:b w:val="0"/>
          <w:color w:val="000000"/>
          <w:sz w:val="21"/>
        </w:rPr>
        <w:t>AI 使用说明：本分支的测试脚本、修复建议和报告草稿存在 OpenAI Codex 参与，关键对话摘要见 docs/module1/AI_USAGE_DISCLOSURE.md。课程要求模块一不得使用 AI，因此这些材料提交前必须向任课教师如实说明并确认是否允许。</w:t>
      </w:r>
    </w:p>
    <w:sectPr w:rsidR="0098147B" w:rsidRPr="00963858">
      <w:footerReference w:type="even" r:id="rId9"/>
      <w:footerReference w:type="default" r:id="rId10"/>
      <w:headerReference w:type="default" r:id="rId13"/>
      <w:pgSz w:w="11906" w:h="16838"/>
      <w:pgMar w:top="1440" w:right="1800" w:bottom="1440" w:left="1800" w:header="648" w:footer="64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0A5D" w14:textId="77777777" w:rsidR="00B1286B" w:rsidRDefault="00B1286B">
      <w:r>
        <w:separator/>
      </w:r>
    </w:p>
  </w:endnote>
  <w:endnote w:type="continuationSeparator" w:id="0">
    <w:p w14:paraId="52846014" w14:textId="77777777" w:rsidR="00B1286B" w:rsidRDefault="00B1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Heiti">
    <w:charset w:val="86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jc w:val="center"/>
      <w:rPr>
        <w:rStyle w:val="a5"/>
      </w:rPr>
    </w:pPr>
    <w:r/>
    <w:r>
      <w:rPr>
        <w:rFonts w:ascii="STHeiti" w:hAnsi="STHeiti" w:eastAsia="STHeiti"/>
        <w:b w:val="0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THeiti" w:hAnsi="STHeiti" w:eastAsia="STHeiti"/>
        <w:b w:val="0"/>
        <w:color w:val="000000"/>
        <w:sz w:val="18"/>
      </w:rPr>
      <w:t xml:space="preserve"> / </w:t>
    </w:r>
    <w:r>
      <w:rPr>
        <w:rFonts w:ascii="STHeiti" w:hAnsi="STHeiti" w:eastAsia="STHeiti"/>
        <w:b w:val="0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BD0A" w14:textId="77777777" w:rsidR="00B1286B" w:rsidRDefault="00B1286B">
      <w:r>
        <w:separator/>
      </w:r>
    </w:p>
  </w:footnote>
  <w:footnote w:type="continuationSeparator" w:id="0">
    <w:p w14:paraId="35F38862" w14:textId="77777777" w:rsidR="00B1286B" w:rsidRDefault="00B12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808080"/>
      </w:pBdr>
    </w:pPr>
    <w:r>
      <w:rPr>
        <w:rFonts w:ascii="STHeiti" w:hAnsi="STHeiti" w:eastAsia="STHeiti"/>
        <w:b w:val="0"/>
        <w:color w:val="595959"/>
        <w:sz w:val="17"/>
      </w:rPr>
      <w:t>武剑洁</w:t>
      <w:tab/>
      <w:t>软件测试与质量保证实践</w:t>
      <w:tab/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4" w:lineRule="auto" w:after="120"/>
      <w:jc w:val="both"/>
    </w:pPr>
    <w:rPr>
      <w:rFonts w:ascii="STHeiti" w:hAnsi="STHeiti" w:eastAsia="STHeiti"/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40" w:after="120" w:line="578" w:lineRule="auto"/>
      <w:outlineLvl w:val="0"/>
    </w:pPr>
    <w:rPr>
      <w:rFonts w:ascii="STHeiti" w:hAnsi="STHeiti" w:eastAsia="STHeiti"/>
      <w:b/>
      <w:bCs/>
      <w:color w:val="000000"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40" w:after="120" w:line="416" w:lineRule="auto"/>
      <w:outlineLvl w:val="1"/>
    </w:pPr>
    <w:rPr>
      <w:rFonts w:ascii="STHeiti" w:eastAsia="STHeiti" w:hAnsi="STHeiti"/>
      <w:b/>
      <w:bCs/>
      <w:color w:val="000000"/>
      <w:sz w:val="26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160" w:after="120" w:line="416" w:lineRule="auto"/>
      <w:outlineLvl w:val="2"/>
    </w:pPr>
    <w:rPr>
      <w:rFonts w:ascii="STHeiti" w:hAnsi="STHeiti" w:eastAsia="STHeiti"/>
      <w:b/>
      <w:bCs/>
      <w:color w:val="000000"/>
      <w:sz w:val="2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">
    <w:name w:val="List Bullet"/>
  </w:style>
  <w:style w:type="paragraph" w:customStyle="1" w:styleId="Title">
    <w:name w:val="Title"/>
    <w:pPr>
      <w:keepNext/>
      <w:spacing w:before="240" w:after="120"/>
    </w:pPr>
    <w:rPr>
      <w:rFonts w:ascii="STHeiti" w:hAnsi="STHeiti" w:eastAsia="STHeiti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LLMGal 模块一测试报告</dc:title>
  <dc:subject>软件测试与质量保证实践</dc:subject>
  <dc:creator>Fang Weijun</dc:creator>
  <cp:keywords/>
  <dc:description/>
  <cp:lastModifiedBy>yoga</cp:lastModifiedBy>
  <cp:revision>25</cp:revision>
  <dcterms:created xsi:type="dcterms:W3CDTF">2019-03-10T14:14:00Z</dcterms:created>
  <dcterms:modified xsi:type="dcterms:W3CDTF">2026-09-07T03:09:00Z</dcterms:modified>
</cp:coreProperties>
</file>