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b/>
          <w:bCs/>
          <w:color w:val="1F3864"/>
          <w:sz w:val="40"/>
          <w:szCs w:val="40"/>
        </w:rPr>
        <w:t xml:space="preserve">DOCUMENT 05 — Stratégie de tests et critères d’acceptation du frontend</w:t>
      </w:r>
    </w:p>
    <w:p>
      <w:pPr>
        <w:pBdr>
          <w:top w:val="single" w:color="1F3864" w:sz="6" w:space="4"/>
        </w:pBdr>
        <w:shd w:fill="EAF0FA" w:color="auto" w:val="clear"/>
        <w:spacing w:after="0" w:before="0"/>
        <w:ind w:left="120" w:right="120"/>
      </w:pPr>
      <w:r>
        <w:rPr>
          <w:b/>
          <w:bCs/>
          <w:sz w:val="21"/>
          <w:szCs w:val="21"/>
        </w:rPr>
        <w:t xml:space="preserve">Projet :</w:t>
      </w:r>
      <w:r>
        <w:rPr>
          <w:sz w:val="21"/>
          <w:szCs w:val="21"/>
        </w:rPr>
        <w:t xml:space="preserve"> Comparateur de prix au Gabon</w:t>
      </w:r>
    </w:p>
    <w:p>
      <w:pPr>
        <w:shd w:fill="EAF0FA" w:color="auto" w:val="clear"/>
        <w:spacing w:after="0" w:before="0"/>
        <w:ind w:left="120" w:right="120"/>
      </w:pPr>
      <w:r>
        <w:rPr>
          <w:b/>
          <w:bCs/>
          <w:sz w:val="21"/>
          <w:szCs w:val="21"/>
        </w:rPr>
        <w:t xml:space="preserve">Identifiant :</w:t>
      </w:r>
      <w:r>
        <w:rPr>
          <w:sz w:val="21"/>
          <w:szCs w:val="21"/>
        </w:rPr>
        <w:t xml:space="preserve"> </w:t>
      </w:r>
      <w:r>
        <w:rPr>
          <w:rFonts w:ascii="Consolas" w:cs="Consolas" w:eastAsia="Consolas" w:hAnsi="Consolas"/>
          <w:color w:val="7B2D26"/>
          <w:sz w:val="19"/>
          <w:szCs w:val="19"/>
        </w:rPr>
        <w:t xml:space="preserve">DOC-FE-TEST-001</w:t>
      </w:r>
    </w:p>
    <w:p>
      <w:pPr>
        <w:shd w:fill="EAF0FA" w:color="auto" w:val="clear"/>
        <w:spacing w:after="0" w:before="0"/>
        <w:ind w:left="120" w:right="120"/>
      </w:pPr>
      <w:r>
        <w:rPr>
          <w:b/>
          <w:bCs/>
          <w:sz w:val="21"/>
          <w:szCs w:val="21"/>
        </w:rPr>
        <w:t xml:space="preserve">Version :</w:t>
      </w:r>
      <w:r>
        <w:rPr>
          <w:sz w:val="21"/>
          <w:szCs w:val="21"/>
        </w:rPr>
        <w:t xml:space="preserve"> 0.1</w:t>
      </w:r>
    </w:p>
    <w:p>
      <w:pPr>
        <w:shd w:fill="EAF0FA" w:color="auto" w:val="clear"/>
        <w:spacing w:after="0" w:before="0"/>
        <w:ind w:left="120" w:right="120"/>
      </w:pPr>
      <w:r>
        <w:rPr>
          <w:b/>
          <w:bCs/>
          <w:sz w:val="21"/>
          <w:szCs w:val="21"/>
        </w:rPr>
        <w:t xml:space="preserve">Date :</w:t>
      </w:r>
      <w:r>
        <w:rPr>
          <w:sz w:val="21"/>
          <w:szCs w:val="21"/>
        </w:rPr>
        <w:t xml:space="preserve"> 11 octobre 2026</w:t>
      </w:r>
    </w:p>
    <w:p>
      <w:pPr>
        <w:shd w:fill="EAF0FA" w:color="auto" w:val="clear"/>
        <w:spacing w:after="0" w:before="0"/>
        <w:ind w:left="120" w:right="120"/>
      </w:pPr>
      <w:r>
        <w:rPr>
          <w:b/>
          <w:bCs/>
          <w:sz w:val="21"/>
          <w:szCs w:val="21"/>
        </w:rPr>
        <w:t xml:space="preserve">Statut :</w:t>
      </w:r>
      <w:r>
        <w:rPr>
          <w:sz w:val="21"/>
          <w:szCs w:val="21"/>
        </w:rPr>
        <w:t xml:space="preserve"> Valider</w:t>
      </w:r>
    </w:p>
    <w:p>
      <w:pPr>
        <w:shd w:fill="EAF0FA" w:color="auto" w:val="clear"/>
        <w:spacing w:after="0" w:before="0"/>
        <w:ind w:left="120" w:right="120"/>
      </w:pPr>
      <w:r>
        <w:rPr>
          <w:b/>
          <w:bCs/>
          <w:sz w:val="21"/>
          <w:szCs w:val="21"/>
        </w:rPr>
        <w:t xml:space="preserve">Périmètre :</w:t>
      </w:r>
      <w:r>
        <w:rPr>
          <w:sz w:val="21"/>
          <w:szCs w:val="21"/>
        </w:rPr>
        <w:t xml:space="preserve"> Application mobile Flutter</w:t>
      </w:r>
    </w:p>
    <w:p>
      <w:pPr>
        <w:shd w:fill="EAF0FA" w:color="auto" w:val="clear"/>
        <w:spacing w:after="0" w:before="0"/>
        <w:ind w:left="120" w:right="120"/>
      </w:pPr>
      <w:r>
        <w:rPr>
          <w:b/>
          <w:bCs/>
          <w:sz w:val="21"/>
          <w:szCs w:val="21"/>
        </w:rPr>
        <w:t xml:space="preserve">Dépendances :</w:t>
      </w:r>
      <w:r>
        <w:rPr>
          <w:sz w:val="21"/>
          <w:szCs w:val="21"/>
        </w:rPr>
        <w:t xml:space="preserve"> Architecture Flutter, intégration API, résilience et sécurité, spécifications fonctionnelles et UX/UI.</w:t>
      </w:r>
    </w:p>
    <w:p>
      <w:pPr>
        <w:spacing w:after="160"/>
      </w:pPr>
    </w:p>
    <w:p>
      <w:pPr>
        <w:pStyle w:val="Heading1"/>
      </w:pPr>
      <w:r>
        <w:t xml:space="preserve">1. Objet du document</w:t>
      </w:r>
    </w:p>
    <w:p>
      <w:pPr>
        <w:spacing w:after="120" w:before="60"/>
      </w:pPr>
      <w:r>
        <w:t xml:space="preserve">Ce document définit la stratégie permettant de vérifier que le frontend Flutter répond aux exigences fonctionnelles, techniques, ergonomiques et de sécurité du Comparateur de prix au Gabon.</w:t>
      </w:r>
    </w:p>
    <w:p>
      <w:pPr>
        <w:spacing w:after="120" w:before="60"/>
      </w:pPr>
      <w:r>
        <w:t xml:space="preserve">Il précise :</w:t>
      </w:r>
    </w:p>
    <w:p>
      <w:pPr>
        <w:pStyle w:val="ListParagraph"/>
        <w:numPr>
          <w:ilvl w:val="0"/>
          <w:numId w:val="2"/>
        </w:numPr>
        <w:spacing w:after="60"/>
      </w:pPr>
      <w:r>
        <w:t xml:space="preserve">les niveaux de tests à mettre en œuvre ;</w:t>
      </w:r>
    </w:p>
    <w:p>
      <w:pPr>
        <w:pStyle w:val="ListParagraph"/>
        <w:numPr>
          <w:ilvl w:val="0"/>
          <w:numId w:val="2"/>
        </w:numPr>
        <w:spacing w:after="60"/>
      </w:pPr>
      <w:r>
        <w:t xml:space="preserve">les composants et comportements à vérifier ;</w:t>
      </w:r>
    </w:p>
    <w:p>
      <w:pPr>
        <w:pStyle w:val="ListParagraph"/>
        <w:numPr>
          <w:ilvl w:val="0"/>
          <w:numId w:val="2"/>
        </w:numPr>
        <w:spacing w:after="60"/>
      </w:pPr>
      <w:r>
        <w:t xml:space="preserve">les parcours utilisateurs critiques ;</w:t>
      </w:r>
    </w:p>
    <w:p>
      <w:pPr>
        <w:pStyle w:val="ListParagraph"/>
        <w:numPr>
          <w:ilvl w:val="0"/>
          <w:numId w:val="2"/>
        </w:numPr>
        <w:spacing w:after="60"/>
      </w:pPr>
      <w:r>
        <w:t xml:space="preserve">les critères d’acceptation fonctionnels ;</w:t>
      </w:r>
    </w:p>
    <w:p>
      <w:pPr>
        <w:pStyle w:val="ListParagraph"/>
        <w:numPr>
          <w:ilvl w:val="0"/>
          <w:numId w:val="2"/>
        </w:numPr>
        <w:spacing w:after="60"/>
      </w:pPr>
      <w:r>
        <w:t xml:space="preserve">les exigences de qualité avant livraison ;</w:t>
      </w:r>
    </w:p>
    <w:p>
      <w:pPr>
        <w:pStyle w:val="ListParagraph"/>
        <w:numPr>
          <w:ilvl w:val="0"/>
          <w:numId w:val="2"/>
        </w:numPr>
        <w:spacing w:after="60"/>
      </w:pPr>
      <w:r>
        <w:t xml:space="preserve">les conditions de validation d’une version ;</w:t>
      </w:r>
    </w:p>
    <w:p>
      <w:pPr>
        <w:pStyle w:val="ListParagraph"/>
        <w:numPr>
          <w:ilvl w:val="0"/>
          <w:numId w:val="2"/>
        </w:numPr>
        <w:spacing w:after="60"/>
      </w:pPr>
      <w:r>
        <w:t xml:space="preserve">les risques, hypothèses et décisions restant à traiter.</w:t>
      </w:r>
    </w:p>
    <w:p>
      <w:pPr>
        <w:spacing w:after="120" w:before="60"/>
      </w:pPr>
      <w:r>
        <w:t xml:space="preserve">L’objectif est de détecter les anomalies suffisamment tôt, de limiter les régressions et de garantir que l’utilisateur reçoit des informations compréhensibles et fiables, notamment lorsque les prix sont anciens ou que le réseau est indisponible.</w:t>
      </w:r>
    </w:p>
    <w:p>
      <w:pPr>
        <w:pStyle w:val="Heading1"/>
      </w:pPr>
      <w:r>
        <w:t xml:space="preserve">2. Objectifs qualité</w:t>
      </w:r>
    </w:p>
    <w:p>
      <w:pPr>
        <w:spacing w:after="120" w:before="60"/>
      </w:pPr>
      <w:r>
        <w:t xml:space="preserve">Le frontend doit satisfaire les objectifs suivants.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8"/>
        <w:gridCol w:w="2360"/>
        <w:gridCol w:w="5410"/>
      </w:tblGrid>
      <w:tr>
        <w:trPr>
          <w:cantSplit/>
          <w:tblHeader/>
        </w:trPr>
        <w:tc>
          <w:tcPr>
            <w:tcW w:type="dxa" w:w="186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ID</w:t>
            </w:r>
          </w:p>
        </w:tc>
        <w:tc>
          <w:tcPr>
            <w:tcW w:type="dxa" w:w="2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Objectif</w:t>
            </w:r>
          </w:p>
        </w:tc>
        <w:tc>
          <w:tcPr>
            <w:tcW w:type="dxa" w:w="541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Résultat attendu</w:t>
            </w:r>
          </w:p>
        </w:tc>
      </w:tr>
      <w:tr>
        <w:trPr>
          <w:cantSplit/>
          <w:tblHeader w:val="false"/>
        </w:trPr>
        <w:tc>
          <w:tcPr>
            <w:tcW w:type="dxa" w:w="18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QUAL-FE-001</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Exactitude fonctionnelle</w:t>
            </w:r>
          </w:p>
        </w:tc>
        <w:tc>
          <w:tcPr>
            <w:tcW w:type="dxa" w:w="54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Les actions produisent les résultats attendus.</w:t>
            </w:r>
          </w:p>
        </w:tc>
      </w:tr>
      <w:tr>
        <w:trPr>
          <w:cantSplit/>
          <w:tblHeader w:val="false"/>
        </w:trPr>
        <w:tc>
          <w:tcPr>
            <w:tcW w:type="dxa" w:w="186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QUAL-FE-002</w:t>
            </w:r>
          </w:p>
        </w:tc>
        <w:tc>
          <w:tcPr>
            <w:tcW w:type="dxa" w:w="236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Fiabilité des prix</w:t>
            </w:r>
          </w:p>
        </w:tc>
        <w:tc>
          <w:tcPr>
            <w:tcW w:type="dxa" w:w="541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Les montants, devises, quantités et dates sont affichés sans altération.</w:t>
            </w:r>
          </w:p>
        </w:tc>
      </w:tr>
      <w:tr>
        <w:trPr>
          <w:cantSplit/>
          <w:tblHeader w:val="false"/>
        </w:trPr>
        <w:tc>
          <w:tcPr>
            <w:tcW w:type="dxa" w:w="18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QUAL-FE-003</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Transparence</w:t>
            </w:r>
          </w:p>
        </w:tc>
        <w:tc>
          <w:tcPr>
            <w:tcW w:type="dxa" w:w="54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La source, la fraîcheur et le statut des données sont compréhensibles.</w:t>
            </w:r>
          </w:p>
        </w:tc>
      </w:tr>
      <w:tr>
        <w:trPr>
          <w:cantSplit/>
          <w:tblHeader w:val="false"/>
        </w:trPr>
        <w:tc>
          <w:tcPr>
            <w:tcW w:type="dxa" w:w="186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QUAL-FE-004</w:t>
            </w:r>
          </w:p>
        </w:tc>
        <w:tc>
          <w:tcPr>
            <w:tcW w:type="dxa" w:w="236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Résilience réseau</w:t>
            </w:r>
          </w:p>
        </w:tc>
        <w:tc>
          <w:tcPr>
            <w:tcW w:type="dxa" w:w="541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Les erreurs de connexion sont traitées sans blocage de l’application.</w:t>
            </w:r>
          </w:p>
        </w:tc>
      </w:tr>
      <w:tr>
        <w:trPr>
          <w:cantSplit/>
          <w:tblHeader w:val="false"/>
        </w:trPr>
        <w:tc>
          <w:tcPr>
            <w:tcW w:type="dxa" w:w="18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QUAL-FE-005</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Mode hors ligne</w:t>
            </w:r>
          </w:p>
        </w:tc>
        <w:tc>
          <w:tcPr>
            <w:tcW w:type="dxa" w:w="54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Seules les données autorisées en cache restent consultables.</w:t>
            </w:r>
          </w:p>
        </w:tc>
      </w:tr>
      <w:tr>
        <w:trPr>
          <w:cantSplit/>
          <w:tblHeader w:val="false"/>
        </w:trPr>
        <w:tc>
          <w:tcPr>
            <w:tcW w:type="dxa" w:w="186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QUAL-FE-006</w:t>
            </w:r>
          </w:p>
        </w:tc>
        <w:tc>
          <w:tcPr>
            <w:tcW w:type="dxa" w:w="236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Sécurité</w:t>
            </w:r>
          </w:p>
        </w:tc>
        <w:tc>
          <w:tcPr>
            <w:tcW w:type="dxa" w:w="541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Les sessions et données locales ne sont pas exposées inutilement.</w:t>
            </w:r>
          </w:p>
        </w:tc>
      </w:tr>
      <w:tr>
        <w:trPr>
          <w:cantSplit/>
          <w:tblHeader w:val="false"/>
        </w:trPr>
        <w:tc>
          <w:tcPr>
            <w:tcW w:type="dxa" w:w="18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QUAL-FE-007</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Ergonomie</w:t>
            </w:r>
          </w:p>
        </w:tc>
        <w:tc>
          <w:tcPr>
            <w:tcW w:type="dxa" w:w="54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Les états de chargement, d’erreur, de vide et de succès sont cohérents.</w:t>
            </w:r>
          </w:p>
        </w:tc>
      </w:tr>
      <w:tr>
        <w:trPr>
          <w:cantSplit/>
          <w:tblHeader w:val="false"/>
        </w:trPr>
        <w:tc>
          <w:tcPr>
            <w:tcW w:type="dxa" w:w="186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QUAL-FE-008</w:t>
            </w:r>
          </w:p>
        </w:tc>
        <w:tc>
          <w:tcPr>
            <w:tcW w:type="dxa" w:w="236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Maintenabilité</w:t>
            </w:r>
          </w:p>
        </w:tc>
        <w:tc>
          <w:tcPr>
            <w:tcW w:type="dxa" w:w="5410"/>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Les composants critiques sont testables et les régressions détectables.</w:t>
            </w:r>
          </w:p>
        </w:tc>
      </w:tr>
      <w:tr>
        <w:trPr>
          <w:cantSplit/>
          <w:tblHeader w:val="false"/>
        </w:trPr>
        <w:tc>
          <w:tcPr>
            <w:tcW w:type="dxa" w:w="186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rFonts w:ascii="Consolas" w:cs="Consolas" w:eastAsia="Consolas" w:hAnsi="Consolas"/>
                <w:color w:val="7B2D26"/>
                <w:sz w:val="17"/>
                <w:szCs w:val="17"/>
              </w:rPr>
              <w:t xml:space="preserve">QUAL-FE-009</w:t>
            </w:r>
          </w:p>
        </w:tc>
        <w:tc>
          <w:tcPr>
            <w:tcW w:type="dxa" w:w="236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Compatibilité</w:t>
            </w:r>
          </w:p>
        </w:tc>
        <w:tc>
          <w:tcPr>
            <w:tcW w:type="dxa" w:w="541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Les parcours essentiels fonctionnent sur les appareils et versions Android/iOS retenus.</w:t>
            </w:r>
          </w:p>
        </w:tc>
      </w:tr>
    </w:tbl>
    <w:p>
      <w:pPr>
        <w:spacing w:after="120" w:before="0"/>
      </w:pPr>
    </w:p>
    <w:p>
      <w:pPr>
        <w:spacing w:after="120" w:before="60"/>
      </w:pPr>
      <w:r>
        <w:t xml:space="preserve">Les objectifs de performance chiffrés et les seuils définitifs de couverture restent à valider.</w:t>
      </w:r>
    </w:p>
    <w:p>
      <w:pPr>
        <w:pStyle w:val="Heading1"/>
      </w:pPr>
      <w:r>
        <w:t xml:space="preserve">3. Périmètre des tests</w:t>
      </w:r>
    </w:p>
    <w:p>
      <w:pPr>
        <w:pStyle w:val="Heading2"/>
      </w:pPr>
      <w:r>
        <w:t xml:space="preserve">3.1 Fonctionnalités couvertes</w:t>
      </w:r>
    </w:p>
    <w:p>
      <w:pPr>
        <w:spacing w:after="120" w:before="60"/>
      </w:pPr>
      <w:r>
        <w:t xml:space="preserve">Le plan de test couvre les éléments suivants, sous réserve de leur inclusion effective dans le MVP :</w:t>
      </w:r>
    </w:p>
    <w:p>
      <w:pPr>
        <w:pStyle w:val="ListParagraph"/>
        <w:numPr>
          <w:ilvl w:val="0"/>
          <w:numId w:val="2"/>
        </w:numPr>
        <w:spacing w:after="60"/>
      </w:pPr>
      <w:r>
        <w:t xml:space="preserve">lancement et navigation dans l’application ;</w:t>
      </w:r>
    </w:p>
    <w:p>
      <w:pPr>
        <w:pStyle w:val="ListParagraph"/>
        <w:numPr>
          <w:ilvl w:val="0"/>
          <w:numId w:val="2"/>
        </w:numPr>
        <w:spacing w:after="60"/>
      </w:pPr>
      <w:r>
        <w:t xml:space="preserve">affichage du catalogue de produits ;</w:t>
      </w:r>
    </w:p>
    <w:p>
      <w:pPr>
        <w:pStyle w:val="ListParagraph"/>
        <w:numPr>
          <w:ilvl w:val="0"/>
          <w:numId w:val="2"/>
        </w:numPr>
        <w:spacing w:after="60"/>
      </w:pPr>
      <w:r>
        <w:t xml:space="preserve">recherche et filtrage ;</w:t>
      </w:r>
    </w:p>
    <w:p>
      <w:pPr>
        <w:pStyle w:val="ListParagraph"/>
        <w:numPr>
          <w:ilvl w:val="0"/>
          <w:numId w:val="2"/>
        </w:numPr>
        <w:spacing w:after="60"/>
      </w:pPr>
      <w:r>
        <w:t xml:space="preserve">consultation d’une fiche produit ;</w:t>
      </w:r>
    </w:p>
    <w:p>
      <w:pPr>
        <w:pStyle w:val="ListParagraph"/>
        <w:numPr>
          <w:ilvl w:val="0"/>
          <w:numId w:val="2"/>
        </w:numPr>
        <w:spacing w:after="60"/>
      </w:pPr>
      <w:r>
        <w:t xml:space="preserve">affichage des prix et observations ;</w:t>
      </w:r>
    </w:p>
    <w:p>
      <w:pPr>
        <w:pStyle w:val="ListParagraph"/>
        <w:numPr>
          <w:ilvl w:val="0"/>
          <w:numId w:val="2"/>
        </w:numPr>
        <w:spacing w:after="60"/>
      </w:pPr>
      <w:r>
        <w:t xml:space="preserve">comparaison de produits strictement équivalents ;</w:t>
      </w:r>
    </w:p>
    <w:p>
      <w:pPr>
        <w:pStyle w:val="ListParagraph"/>
        <w:numPr>
          <w:ilvl w:val="0"/>
          <w:numId w:val="2"/>
        </w:numPr>
        <w:spacing w:after="60"/>
      </w:pPr>
      <w:r>
        <w:t xml:space="preserve">affichage des magasins et de la disponibilité lorsqu’ils sont pris en charge ;</w:t>
      </w:r>
    </w:p>
    <w:p>
      <w:pPr>
        <w:pStyle w:val="ListParagraph"/>
        <w:numPr>
          <w:ilvl w:val="0"/>
          <w:numId w:val="2"/>
        </w:numPr>
        <w:spacing w:after="60"/>
      </w:pPr>
      <w:r>
        <w:t xml:space="preserve">authentification et gestion de session, si l’authentification est requise ;</w:t>
      </w:r>
    </w:p>
    <w:p>
      <w:pPr>
        <w:pStyle w:val="ListParagraph"/>
        <w:numPr>
          <w:ilvl w:val="0"/>
          <w:numId w:val="2"/>
        </w:numPr>
        <w:spacing w:after="60"/>
      </w:pPr>
      <w:r>
        <w:t xml:space="preserve">chargement, rafraîchissement et pagination des résultats ;</w:t>
      </w:r>
    </w:p>
    <w:p>
      <w:pPr>
        <w:pStyle w:val="ListParagraph"/>
        <w:numPr>
          <w:ilvl w:val="0"/>
          <w:numId w:val="2"/>
        </w:numPr>
        <w:spacing w:after="60"/>
      </w:pPr>
      <w:r>
        <w:t xml:space="preserve">gestion des erreurs de l’API ;</w:t>
      </w:r>
    </w:p>
    <w:p>
      <w:pPr>
        <w:pStyle w:val="ListParagraph"/>
        <w:numPr>
          <w:ilvl w:val="0"/>
          <w:numId w:val="2"/>
        </w:numPr>
        <w:spacing w:after="60"/>
      </w:pPr>
      <w:r>
        <w:t xml:space="preserve">lecture des données mises en cache hors connexion ;</w:t>
      </w:r>
    </w:p>
    <w:p>
      <w:pPr>
        <w:pStyle w:val="ListParagraph"/>
        <w:numPr>
          <w:ilvl w:val="0"/>
          <w:numId w:val="2"/>
        </w:numPr>
        <w:spacing w:after="60"/>
      </w:pPr>
      <w:r>
        <w:t xml:space="preserve">protection des données locales et isolation des comptes ;</w:t>
      </w:r>
    </w:p>
    <w:p>
      <w:pPr>
        <w:pStyle w:val="ListParagraph"/>
        <w:numPr>
          <w:ilvl w:val="0"/>
          <w:numId w:val="2"/>
        </w:numPr>
        <w:spacing w:after="60"/>
      </w:pPr>
      <w:r>
        <w:t xml:space="preserve">contribution à une observation de prix lorsque cette fonctionnalité est disponible en ligne.</w:t>
      </w:r>
    </w:p>
    <w:p>
      <w:pPr>
        <w:pStyle w:val="Heading2"/>
      </w:pPr>
      <w:r>
        <w:t xml:space="preserve">3.2 Éléments exclus ou non confirmés</w:t>
      </w:r>
    </w:p>
    <w:p>
      <w:pPr>
        <w:spacing w:after="120" w:before="60"/>
      </w:pPr>
      <w:r>
        <w:t xml:space="preserve">Les tests des fonctionnalités suivantes ne seront ajoutés que lorsqu’elles entreront dans le périmètre d’une version :</w:t>
      </w:r>
    </w:p>
    <w:p>
      <w:pPr>
        <w:pStyle w:val="ListParagraph"/>
        <w:numPr>
          <w:ilvl w:val="0"/>
          <w:numId w:val="2"/>
        </w:numPr>
        <w:spacing w:after="60"/>
      </w:pPr>
      <w:r>
        <w:t xml:space="preserve">commandes, paiements et livraison ;</w:t>
      </w:r>
    </w:p>
    <w:p>
      <w:pPr>
        <w:pStyle w:val="ListParagraph"/>
        <w:numPr>
          <w:ilvl w:val="0"/>
          <w:numId w:val="2"/>
        </w:numPr>
        <w:spacing w:after="60"/>
      </w:pPr>
      <w:r>
        <w:t xml:space="preserve">alertes de prix et notifications avancées ;</w:t>
      </w:r>
    </w:p>
    <w:p>
      <w:pPr>
        <w:pStyle w:val="ListParagraph"/>
        <w:numPr>
          <w:ilvl w:val="0"/>
          <w:numId w:val="2"/>
        </w:numPr>
        <w:spacing w:after="60"/>
      </w:pPr>
      <w:r>
        <w:t xml:space="preserve">recommandations personnalisées ;</w:t>
      </w:r>
    </w:p>
    <w:p>
      <w:pPr>
        <w:pStyle w:val="ListParagraph"/>
        <w:numPr>
          <w:ilvl w:val="0"/>
          <w:numId w:val="2"/>
        </w:numPr>
        <w:spacing w:after="60"/>
      </w:pPr>
      <w:r>
        <w:t xml:space="preserve">prévisions de prix ;</w:t>
      </w:r>
    </w:p>
    <w:p>
      <w:pPr>
        <w:pStyle w:val="ListParagraph"/>
        <w:numPr>
          <w:ilvl w:val="0"/>
          <w:numId w:val="2"/>
        </w:numPr>
        <w:spacing w:after="60"/>
      </w:pPr>
      <w:r>
        <w:t xml:space="preserve">fonctionnalités d’intelligence artificielle avancées ;</w:t>
      </w:r>
    </w:p>
    <w:p>
      <w:pPr>
        <w:pStyle w:val="ListParagraph"/>
        <w:numPr>
          <w:ilvl w:val="0"/>
          <w:numId w:val="2"/>
        </w:numPr>
        <w:spacing w:after="60"/>
      </w:pPr>
      <w:r>
        <w:t xml:space="preserve">création et synchronisation d’observations hors ligne, exclues du MVP actuel.</w:t>
      </w:r>
    </w:p>
    <w:p>
      <w:pPr>
        <w:pStyle w:val="Heading2"/>
      </w:pPr>
      <w:r>
        <w:t xml:space="preserve">3.3 Hypothèses de travail</w:t>
      </w:r>
    </w:p>
    <w:p>
      <w:pPr>
        <w:pStyle w:val="ListParagraph"/>
        <w:numPr>
          <w:ilvl w:val="0"/>
          <w:numId w:val="3"/>
        </w:numPr>
        <w:spacing w:after="60"/>
      </w:pPr>
      <w:r>
        <w:t xml:space="preserve">Le backend utilise Django REST Framework et PostgreSQL.</w:t>
      </w:r>
    </w:p>
    <w:p>
      <w:pPr>
        <w:pStyle w:val="ListParagraph"/>
        <w:numPr>
          <w:ilvl w:val="0"/>
          <w:numId w:val="3"/>
        </w:numPr>
        <w:spacing w:after="60"/>
      </w:pPr>
      <w:r>
        <w:t xml:space="preserve">Le frontend utilise Flutter et Dart.</w:t>
      </w:r>
    </w:p>
    <w:p>
      <w:pPr>
        <w:pStyle w:val="ListParagraph"/>
        <w:numPr>
          <w:ilvl w:val="0"/>
          <w:numId w:val="3"/>
        </w:numPr>
        <w:spacing w:after="60"/>
      </w:pPr>
      <w:r>
        <w:t xml:space="preserve">Les contrats de l’API doivent être définis et versionnés avant les tests d’intégration définitifs.</w:t>
      </w:r>
    </w:p>
    <w:p>
      <w:pPr>
        <w:pStyle w:val="ListParagraph"/>
        <w:numPr>
          <w:ilvl w:val="0"/>
          <w:numId w:val="3"/>
        </w:numPr>
        <w:spacing w:after="60"/>
      </w:pPr>
      <w:r>
        <w:t xml:space="preserve">Les données de test doivent être synthétiques ou anonymisées.</w:t>
      </w:r>
    </w:p>
    <w:p>
      <w:pPr>
        <w:pStyle w:val="ListParagraph"/>
        <w:numPr>
          <w:ilvl w:val="0"/>
          <w:numId w:val="3"/>
        </w:numPr>
        <w:spacing w:after="60"/>
      </w:pPr>
      <w:r>
        <w:t xml:space="preserve">Les bibliothèques de gestion d’état, de navigation, de réseau et de sérialisation restent à confirmer.</w:t>
      </w:r>
    </w:p>
    <w:p>
      <w:pPr>
        <w:pStyle w:val="ListParagraph"/>
        <w:numPr>
          <w:ilvl w:val="0"/>
          <w:numId w:val="3"/>
        </w:numPr>
        <w:spacing w:after="60"/>
      </w:pPr>
      <w:r>
        <w:t xml:space="preserve">Les critères de fraîcheur des prix doivent être définis par catégorie ou type de donnée avant de pouvoir tester automatiquement tous les cas limites.</w:t>
      </w:r>
    </w:p>
    <w:p>
      <w:pPr>
        <w:pStyle w:val="Heading1"/>
      </w:pPr>
      <w:r>
        <w:t xml:space="preserve">4. Stratégie générale</w:t>
      </w:r>
    </w:p>
    <w:p>
      <w:pPr>
        <w:spacing w:after="120" w:before="60"/>
      </w:pPr>
      <w:r>
        <w:t xml:space="preserve">La stratégie repose sur plusieurs niveaux complémentaires.</w:t>
      </w:r>
    </w:p>
    <w:p>
      <w:pPr>
        <w:pStyle w:val="Heading2"/>
      </w:pPr>
      <w:r>
        <w:t xml:space="preserve">4.1 Tests unitaires</w:t>
      </w:r>
    </w:p>
    <w:p>
      <w:pPr>
        <w:spacing w:after="120" w:before="60"/>
      </w:pPr>
      <w:r>
        <w:rPr>
          <w:b/>
          <w:bCs/>
        </w:rPr>
        <w:t xml:space="preserve">Objectif :</w:t>
      </w:r>
      <w:r>
        <w:t xml:space="preserve"> vérifier une unité de logique isolément, sans dépendre d’un véritable serveur ou d’une interface graphique.</w:t>
      </w:r>
    </w:p>
    <w:p>
      <w:pPr>
        <w:spacing w:after="120" w:before="60"/>
      </w:pPr>
      <w:r>
        <w:t xml:space="preserve">Composants concernés :</w:t>
      </w:r>
    </w:p>
    <w:p>
      <w:pPr>
        <w:pStyle w:val="ListParagraph"/>
        <w:numPr>
          <w:ilvl w:val="0"/>
          <w:numId w:val="2"/>
        </w:numPr>
        <w:spacing w:after="60"/>
      </w:pPr>
      <w:r>
        <w:t xml:space="preserve">règles de formatage des prix et des devises ;</w:t>
      </w:r>
    </w:p>
    <w:p>
      <w:pPr>
        <w:pStyle w:val="ListParagraph"/>
        <w:numPr>
          <w:ilvl w:val="0"/>
          <w:numId w:val="2"/>
        </w:numPr>
        <w:spacing w:after="60"/>
      </w:pPr>
      <w:r>
        <w:t xml:space="preserve">calculs de comparaison ;</w:t>
      </w:r>
    </w:p>
    <w:p>
      <w:pPr>
        <w:pStyle w:val="ListParagraph"/>
        <w:numPr>
          <w:ilvl w:val="0"/>
          <w:numId w:val="2"/>
        </w:numPr>
        <w:spacing w:after="60"/>
      </w:pPr>
      <w:r>
        <w:t xml:space="preserve">validation des entrées ;</w:t>
      </w:r>
    </w:p>
    <w:p>
      <w:pPr>
        <w:pStyle w:val="ListParagraph"/>
        <w:numPr>
          <w:ilvl w:val="0"/>
          <w:numId w:val="2"/>
        </w:numPr>
        <w:spacing w:after="60"/>
      </w:pPr>
      <w:r>
        <w:t xml:space="preserve">conversion et validation des modèles ;</w:t>
      </w:r>
    </w:p>
    <w:p>
      <w:pPr>
        <w:pStyle w:val="ListParagraph"/>
        <w:numPr>
          <w:ilvl w:val="0"/>
          <w:numId w:val="2"/>
        </w:numPr>
        <w:spacing w:after="60"/>
      </w:pPr>
      <w:r>
        <w:t xml:space="preserve">interprétation des dates ;</w:t>
      </w:r>
    </w:p>
    <w:p>
      <w:pPr>
        <w:pStyle w:val="ListParagraph"/>
        <w:numPr>
          <w:ilvl w:val="0"/>
          <w:numId w:val="2"/>
        </w:numPr>
        <w:spacing w:after="60"/>
      </w:pPr>
      <w:r>
        <w:t xml:space="preserve">règles de fraîcheur ;</w:t>
      </w:r>
    </w:p>
    <w:p>
      <w:pPr>
        <w:pStyle w:val="ListParagraph"/>
        <w:numPr>
          <w:ilvl w:val="0"/>
          <w:numId w:val="2"/>
        </w:numPr>
        <w:spacing w:after="60"/>
      </w:pPr>
      <w:r>
        <w:t xml:space="preserve">transformation des erreurs techniques en erreurs applicatives ;</w:t>
      </w:r>
    </w:p>
    <w:p>
      <w:pPr>
        <w:pStyle w:val="ListParagraph"/>
        <w:numPr>
          <w:ilvl w:val="0"/>
          <w:numId w:val="2"/>
        </w:numPr>
        <w:spacing w:after="60"/>
      </w:pPr>
      <w:r>
        <w:t xml:space="preserve">logique de pagination ;</w:t>
      </w:r>
    </w:p>
    <w:p>
      <w:pPr>
        <w:pStyle w:val="ListParagraph"/>
        <w:numPr>
          <w:ilvl w:val="0"/>
          <w:numId w:val="2"/>
        </w:numPr>
        <w:spacing w:after="60"/>
      </w:pPr>
      <w:r>
        <w:t xml:space="preserve">règles de gestion du cache ;</w:t>
      </w:r>
    </w:p>
    <w:p>
      <w:pPr>
        <w:pStyle w:val="ListParagraph"/>
        <w:numPr>
          <w:ilvl w:val="0"/>
          <w:numId w:val="2"/>
        </w:numPr>
        <w:spacing w:after="60"/>
      </w:pPr>
      <w:r>
        <w:t xml:space="preserve">transitions d’état des fonctionnalités.</w:t>
      </w:r>
    </w:p>
    <w:p>
      <w:pPr>
        <w:spacing w:after="120" w:before="60"/>
      </w:pPr>
      <w:r>
        <w:t xml:space="preserve">Exemples :</w:t>
      </w:r>
    </w:p>
    <w:p>
      <w:pPr>
        <w:pStyle w:val="ListParagraph"/>
        <w:numPr>
          <w:ilvl w:val="0"/>
          <w:numId w:val="2"/>
        </w:numPr>
        <w:spacing w:after="60"/>
      </w:pPr>
      <w:r>
        <w:t xml:space="preserve">un montant valide est affiché sans perte de précision ;</w:t>
      </w:r>
    </w:p>
    <w:p>
      <w:pPr>
        <w:pStyle w:val="ListParagraph"/>
        <w:numPr>
          <w:ilvl w:val="0"/>
          <w:numId w:val="2"/>
        </w:numPr>
        <w:spacing w:after="60"/>
      </w:pPr>
      <w:r>
        <w:t xml:space="preserve">une date d’observation ancienne n’est pas confondue avec une date de synchronisation récente ;</w:t>
      </w:r>
    </w:p>
    <w:p>
      <w:pPr>
        <w:pStyle w:val="ListParagraph"/>
        <w:numPr>
          <w:ilvl w:val="0"/>
          <w:numId w:val="2"/>
        </w:numPr>
        <w:spacing w:after="60"/>
      </w:pPr>
      <w:r>
        <w:t xml:space="preserve">une disponibilité inconnue n’est jamais transformée en disponibilité confirmée ;</w:t>
      </w:r>
    </w:p>
    <w:p>
      <w:pPr>
        <w:pStyle w:val="ListParagraph"/>
        <w:numPr>
          <w:ilvl w:val="0"/>
          <w:numId w:val="2"/>
        </w:numPr>
        <w:spacing w:after="60"/>
      </w:pPr>
      <w:r>
        <w:t xml:space="preserve">une réponse JSON invalide est traitée comme une erreur de données ;</w:t>
      </w:r>
    </w:p>
    <w:p>
      <w:pPr>
        <w:pStyle w:val="ListParagraph"/>
        <w:numPr>
          <w:ilvl w:val="0"/>
          <w:numId w:val="2"/>
        </w:numPr>
        <w:spacing w:after="60"/>
      </w:pPr>
      <w:r>
        <w:t xml:space="preserve">un prix absent ne devient pas artificiellement égal à zéro.</w:t>
      </w:r>
    </w:p>
    <w:p>
      <w:pPr>
        <w:spacing w:after="120" w:before="60"/>
      </w:pPr>
      <w:r>
        <w:t xml:space="preserve">Les dépendances externes doivent être remplacées par des doublures de test lorsque cela permet d’isoler la logique.</w:t>
      </w:r>
    </w:p>
    <w:p>
      <w:pPr>
        <w:pStyle w:val="Heading2"/>
      </w:pPr>
      <w:r>
        <w:t xml:space="preserve">4.2 Tests de widgets</w:t>
      </w:r>
    </w:p>
    <w:p>
      <w:pPr>
        <w:spacing w:after="120" w:before="60"/>
      </w:pPr>
      <w:r>
        <w:rPr>
          <w:b/>
          <w:bCs/>
        </w:rPr>
        <w:t xml:space="preserve">Objectif :</w:t>
      </w:r>
      <w:r>
        <w:t xml:space="preserve"> vérifier les composants Flutter et leurs interactions.</w:t>
      </w:r>
    </w:p>
    <w:p>
      <w:pPr>
        <w:spacing w:after="120" w:before="60"/>
      </w:pPr>
      <w:r>
        <w:t xml:space="preserve">Composants à tester :</w:t>
      </w:r>
    </w:p>
    <w:p>
      <w:pPr>
        <w:pStyle w:val="ListParagraph"/>
        <w:numPr>
          <w:ilvl w:val="0"/>
          <w:numId w:val="2"/>
        </w:numPr>
        <w:spacing w:after="60"/>
      </w:pPr>
      <w:r>
        <w:t xml:space="preserve">cartes de produits ;</w:t>
      </w:r>
    </w:p>
    <w:p>
      <w:pPr>
        <w:pStyle w:val="ListParagraph"/>
        <w:numPr>
          <w:ilvl w:val="0"/>
          <w:numId w:val="2"/>
        </w:numPr>
        <w:spacing w:after="60"/>
      </w:pPr>
      <w:r>
        <w:t xml:space="preserve">champs de recherche ;</w:t>
      </w:r>
    </w:p>
    <w:p>
      <w:pPr>
        <w:pStyle w:val="ListParagraph"/>
        <w:numPr>
          <w:ilvl w:val="0"/>
          <w:numId w:val="2"/>
        </w:numPr>
        <w:spacing w:after="60"/>
      </w:pPr>
      <w:r>
        <w:t xml:space="preserve">filtres ;</w:t>
      </w:r>
    </w:p>
    <w:p>
      <w:pPr>
        <w:pStyle w:val="ListParagraph"/>
        <w:numPr>
          <w:ilvl w:val="0"/>
          <w:numId w:val="2"/>
        </w:numPr>
        <w:spacing w:after="60"/>
      </w:pPr>
      <w:r>
        <w:t xml:space="preserve">boutons de rafraîchissement ;</w:t>
      </w:r>
    </w:p>
    <w:p>
      <w:pPr>
        <w:pStyle w:val="ListParagraph"/>
        <w:numPr>
          <w:ilvl w:val="0"/>
          <w:numId w:val="2"/>
        </w:numPr>
        <w:spacing w:after="60"/>
      </w:pPr>
      <w:r>
        <w:t xml:space="preserve">tableaux ou listes de comparaison ;</w:t>
      </w:r>
    </w:p>
    <w:p>
      <w:pPr>
        <w:pStyle w:val="ListParagraph"/>
        <w:numPr>
          <w:ilvl w:val="0"/>
          <w:numId w:val="2"/>
        </w:numPr>
        <w:spacing w:after="60"/>
      </w:pPr>
      <w:r>
        <w:t xml:space="preserve">indicateurs de prix périmés ;</w:t>
      </w:r>
    </w:p>
    <w:p>
      <w:pPr>
        <w:pStyle w:val="ListParagraph"/>
        <w:numPr>
          <w:ilvl w:val="0"/>
          <w:numId w:val="2"/>
        </w:numPr>
        <w:spacing w:after="60"/>
      </w:pPr>
      <w:r>
        <w:t xml:space="preserve">états de chargement ;</w:t>
      </w:r>
    </w:p>
    <w:p>
      <w:pPr>
        <w:pStyle w:val="ListParagraph"/>
        <w:numPr>
          <w:ilvl w:val="0"/>
          <w:numId w:val="2"/>
        </w:numPr>
        <w:spacing w:after="60"/>
      </w:pPr>
      <w:r>
        <w:t xml:space="preserve">messages d’erreur ;</w:t>
      </w:r>
    </w:p>
    <w:p>
      <w:pPr>
        <w:pStyle w:val="ListParagraph"/>
        <w:numPr>
          <w:ilvl w:val="0"/>
          <w:numId w:val="2"/>
        </w:numPr>
        <w:spacing w:after="60"/>
      </w:pPr>
      <w:r>
        <w:t xml:space="preserve">états vides ;</w:t>
      </w:r>
    </w:p>
    <w:p>
      <w:pPr>
        <w:pStyle w:val="ListParagraph"/>
        <w:numPr>
          <w:ilvl w:val="0"/>
          <w:numId w:val="2"/>
        </w:numPr>
        <w:spacing w:after="60"/>
      </w:pPr>
      <w:r>
        <w:t xml:space="preserve">formulaires et messages de validation ;</w:t>
      </w:r>
    </w:p>
    <w:p>
      <w:pPr>
        <w:pStyle w:val="ListParagraph"/>
        <w:numPr>
          <w:ilvl w:val="0"/>
          <w:numId w:val="2"/>
        </w:numPr>
        <w:spacing w:after="60"/>
      </w:pPr>
      <w:r>
        <w:t xml:space="preserve">indicateurs de disponibilité ;</w:t>
      </w:r>
    </w:p>
    <w:p>
      <w:pPr>
        <w:pStyle w:val="ListParagraph"/>
        <w:numPr>
          <w:ilvl w:val="0"/>
          <w:numId w:val="2"/>
        </w:numPr>
        <w:spacing w:after="60"/>
      </w:pPr>
      <w:r>
        <w:t xml:space="preserve">composants d’accessibilité.</w:t>
      </w:r>
    </w:p>
    <w:p>
      <w:pPr>
        <w:spacing w:after="120" w:before="60"/>
      </w:pPr>
      <w:r>
        <w:t xml:space="preserve">Les tests doivent vérifier à la fois le rendu, les interactions et les changements d’état.</w:t>
      </w:r>
    </w:p>
    <w:p>
      <w:pPr>
        <w:pStyle w:val="Heading2"/>
      </w:pPr>
      <w:r>
        <w:t xml:space="preserve">4.3 Tests d’intégration</w:t>
      </w:r>
    </w:p>
    <w:p>
      <w:pPr>
        <w:spacing w:after="120" w:before="60"/>
      </w:pPr>
      <w:r>
        <w:rPr>
          <w:b/>
          <w:bCs/>
        </w:rPr>
        <w:t xml:space="preserve">Objectif :</w:t>
      </w:r>
      <w:r>
        <w:t xml:space="preserve"> vérifier la collaboration entre plusieurs composants ou couches.</w:t>
      </w:r>
    </w:p>
    <w:p>
      <w:pPr>
        <w:spacing w:after="120" w:before="60"/>
      </w:pPr>
      <w:r>
        <w:t xml:space="preserve">Scénarios concernés :</w:t>
      </w:r>
    </w:p>
    <w:p>
      <w:pPr>
        <w:pStyle w:val="ListParagraph"/>
        <w:numPr>
          <w:ilvl w:val="0"/>
          <w:numId w:val="2"/>
        </w:numPr>
        <w:spacing w:after="60"/>
      </w:pPr>
      <w:r>
        <w:t xml:space="preserve">écran de recherche → logique applicative → dépôt de données → API simulée ;</w:t>
      </w:r>
    </w:p>
    <w:p>
      <w:pPr>
        <w:pStyle w:val="ListParagraph"/>
        <w:numPr>
          <w:ilvl w:val="0"/>
          <w:numId w:val="2"/>
        </w:numPr>
        <w:spacing w:after="60"/>
      </w:pPr>
      <w:r>
        <w:t xml:space="preserve">récupération des produits → désérialisation → affichage ;</w:t>
      </w:r>
    </w:p>
    <w:p>
      <w:pPr>
        <w:pStyle w:val="ListParagraph"/>
        <w:numPr>
          <w:ilvl w:val="0"/>
          <w:numId w:val="2"/>
        </w:numPr>
        <w:spacing w:after="60"/>
      </w:pPr>
      <w:r>
        <w:t xml:space="preserve">récupération des observations → calcul de fraîcheur → présentation ;</w:t>
      </w:r>
    </w:p>
    <w:p>
      <w:pPr>
        <w:pStyle w:val="ListParagraph"/>
        <w:numPr>
          <w:ilvl w:val="0"/>
          <w:numId w:val="2"/>
        </w:numPr>
        <w:spacing w:after="60"/>
      </w:pPr>
      <w:r>
        <w:t xml:space="preserve">perte de réseau → consultation du cache → restauration du réseau ;</w:t>
      </w:r>
    </w:p>
    <w:p>
      <w:pPr>
        <w:pStyle w:val="ListParagraph"/>
        <w:numPr>
          <w:ilvl w:val="0"/>
          <w:numId w:val="2"/>
        </w:numPr>
        <w:spacing w:after="60"/>
      </w:pPr>
      <w:r>
        <w:t xml:space="preserve">expiration de session → traitement de l’erreur → parcours de reconnexion ;</w:t>
      </w:r>
    </w:p>
    <w:p>
      <w:pPr>
        <w:pStyle w:val="ListParagraph"/>
        <w:numPr>
          <w:ilvl w:val="0"/>
          <w:numId w:val="2"/>
        </w:numPr>
        <w:spacing w:after="60"/>
      </w:pPr>
      <w:r>
        <w:t xml:space="preserve">pagination → récupération des pages suivantes → absence de doublons ;</w:t>
      </w:r>
    </w:p>
    <w:p>
      <w:pPr>
        <w:pStyle w:val="ListParagraph"/>
        <w:numPr>
          <w:ilvl w:val="0"/>
          <w:numId w:val="2"/>
        </w:numPr>
        <w:spacing w:after="60"/>
      </w:pPr>
      <w:r>
        <w:t xml:space="preserve">déconnexion → suppression des données sensibles prévues par la politique retenue.</w:t>
      </w:r>
    </w:p>
    <w:p>
      <w:pPr>
        <w:spacing w:after="120" w:before="60"/>
      </w:pPr>
      <w:r>
        <w:t xml:space="preserve">Les tests doivent utiliser un serveur de test ou des réponses simulées contrôlées. Les tests contre le backend réel doivent être réservés à un environnement de test dédié.</w:t>
      </w:r>
    </w:p>
    <w:p>
      <w:pPr>
        <w:pStyle w:val="Heading2"/>
      </w:pPr>
      <w:r>
        <w:t xml:space="preserve">4.4 Tests de bout en bout</w:t>
      </w:r>
    </w:p>
    <w:p>
      <w:pPr>
        <w:spacing w:after="120" w:before="60"/>
      </w:pPr>
      <w:r>
        <w:rPr>
          <w:b/>
          <w:bCs/>
        </w:rPr>
        <w:t xml:space="preserve">Objectif :</w:t>
      </w:r>
      <w:r>
        <w:t xml:space="preserve"> valider les parcours utilisateur complets sur un émulateur ou un appareil réel.</w:t>
      </w:r>
    </w:p>
    <w:p>
      <w:pPr>
        <w:spacing w:after="120" w:before="60"/>
      </w:pPr>
      <w:r>
        <w:t xml:space="preserve">Ils couvrent les actions principales depuis l’ouverture de l’application jusqu’à l’obtention du résultat attendu.</w:t>
      </w:r>
    </w:p>
    <w:p>
      <w:pPr>
        <w:spacing w:after="120" w:before="60"/>
      </w:pPr>
      <w:r>
        <w:t xml:space="preserve">Les tests de bout en bout doivent rester ciblés sur les parcours à forte valeur métier. Ils ne remplacent pas les tests unitaires et les tests de widgets.</w:t>
      </w:r>
    </w:p>
    <w:p>
      <w:pPr>
        <w:pStyle w:val="Heading2"/>
      </w:pPr>
      <w:r>
        <w:t xml:space="preserve">4.5 Tests non fonctionnels</w:t>
      </w:r>
    </w:p>
    <w:p>
      <w:pPr>
        <w:spacing w:after="120" w:before="60"/>
      </w:pPr>
      <w:r>
        <w:t xml:space="preserve">Ils portent notamment sur :</w:t>
      </w:r>
    </w:p>
    <w:p>
      <w:pPr>
        <w:pStyle w:val="ListParagraph"/>
        <w:numPr>
          <w:ilvl w:val="0"/>
          <w:numId w:val="2"/>
        </w:numPr>
        <w:spacing w:after="60"/>
      </w:pPr>
      <w:r>
        <w:t xml:space="preserve">performance de l’affichage et de la recherche ;</w:t>
      </w:r>
    </w:p>
    <w:p>
      <w:pPr>
        <w:pStyle w:val="ListParagraph"/>
        <w:numPr>
          <w:ilvl w:val="0"/>
          <w:numId w:val="2"/>
        </w:numPr>
        <w:spacing w:after="60"/>
      </w:pPr>
      <w:r>
        <w:t xml:space="preserve">comportement avec un réseau lent ou instable ;</w:t>
      </w:r>
    </w:p>
    <w:p>
      <w:pPr>
        <w:pStyle w:val="ListParagraph"/>
        <w:numPr>
          <w:ilvl w:val="0"/>
          <w:numId w:val="2"/>
        </w:numPr>
        <w:spacing w:after="60"/>
      </w:pPr>
      <w:r>
        <w:t xml:space="preserve">consommation mémoire ;</w:t>
      </w:r>
    </w:p>
    <w:p>
      <w:pPr>
        <w:pStyle w:val="ListParagraph"/>
        <w:numPr>
          <w:ilvl w:val="0"/>
          <w:numId w:val="2"/>
        </w:numPr>
        <w:spacing w:after="60"/>
      </w:pPr>
      <w:r>
        <w:t xml:space="preserve">compatibilité des tailles d’écran ;</w:t>
      </w:r>
    </w:p>
    <w:p>
      <w:pPr>
        <w:pStyle w:val="ListParagraph"/>
        <w:numPr>
          <w:ilvl w:val="0"/>
          <w:numId w:val="2"/>
        </w:numPr>
        <w:spacing w:after="60"/>
      </w:pPr>
      <w:r>
        <w:t xml:space="preserve">accessibilité ;</w:t>
      </w:r>
    </w:p>
    <w:p>
      <w:pPr>
        <w:pStyle w:val="ListParagraph"/>
        <w:numPr>
          <w:ilvl w:val="0"/>
          <w:numId w:val="2"/>
        </w:numPr>
        <w:spacing w:after="60"/>
      </w:pPr>
      <w:r>
        <w:t xml:space="preserve">sécurité du stockage local ;</w:t>
      </w:r>
    </w:p>
    <w:p>
      <w:pPr>
        <w:pStyle w:val="ListParagraph"/>
        <w:numPr>
          <w:ilvl w:val="0"/>
          <w:numId w:val="2"/>
        </w:numPr>
        <w:spacing w:after="60"/>
      </w:pPr>
      <w:r>
        <w:t xml:space="preserve">comportement en cas de fermeture inattendue ;</w:t>
      </w:r>
    </w:p>
    <w:p>
      <w:pPr>
        <w:pStyle w:val="ListParagraph"/>
        <w:numPr>
          <w:ilvl w:val="0"/>
          <w:numId w:val="2"/>
        </w:numPr>
        <w:spacing w:after="60"/>
      </w:pPr>
      <w:r>
        <w:t xml:space="preserve">absence de secrets et de données sensibles dans les journaux.</w:t>
      </w:r>
    </w:p>
    <w:p>
      <w:pPr>
        <w:spacing w:after="120" w:before="60"/>
      </w:pPr>
      <w:r>
        <w:t xml:space="preserve">Les seuils chiffrés doivent être définis dans les exigences de performance et de sécurité.</w:t>
      </w:r>
    </w:p>
    <w:p>
      <w:pPr>
        <w:pStyle w:val="Heading1"/>
      </w:pPr>
      <w:r>
        <w:t xml:space="preserve">5. Matrice de couverture fonctionnelle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935"/>
        <w:gridCol w:w="1623"/>
        <w:gridCol w:w="2296"/>
        <w:gridCol w:w="1936"/>
      </w:tblGrid>
      <w:tr>
        <w:trPr>
          <w:cantSplit/>
          <w:tblHeader/>
        </w:trPr>
        <w:tc>
          <w:tcPr>
            <w:tcW w:type="dxa" w:w="1848"/>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Fonctionnalité</w:t>
            </w:r>
          </w:p>
        </w:tc>
        <w:tc>
          <w:tcPr>
            <w:tcW w:type="dxa" w:w="1935"/>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Tests unitaires</w:t>
            </w:r>
          </w:p>
        </w:tc>
        <w:tc>
          <w:tcPr>
            <w:tcW w:type="dxa" w:w="162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Widgets</w:t>
            </w:r>
          </w:p>
        </w:tc>
        <w:tc>
          <w:tcPr>
            <w:tcW w:type="dxa" w:w="229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Intégration</w:t>
            </w:r>
          </w:p>
        </w:tc>
        <w:tc>
          <w:tcPr>
            <w:tcW w:type="dxa" w:w="193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vAlign w:val="center"/>
          </w:tcPr>
          <w:p>
            <w:pPr>
              <w:spacing w:after="0" w:before="0"/>
              <w:jc w:val="left"/>
            </w:pPr>
            <w:r>
              <w:rPr>
                <w:b/>
                <w:bCs/>
                <w:color w:val="FFFFFF"/>
                <w:sz w:val="19"/>
                <w:szCs w:val="19"/>
              </w:rPr>
              <w:t xml:space="preserve">Bout en bout</w:t>
            </w:r>
          </w:p>
        </w:tc>
      </w:tr>
      <w:tr>
        <w:trPr>
          <w:cantSplit/>
          <w:tblHeader w:val="false"/>
        </w:trPr>
        <w:tc>
          <w:tcPr>
            <w:tcW w:type="dxa" w:w="18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Catalogue</w:t>
            </w:r>
          </w:p>
        </w:tc>
        <w:tc>
          <w:tcPr>
            <w:tcW w:type="dxa" w:w="19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Modèles et tri</w:t>
            </w:r>
          </w:p>
        </w:tc>
        <w:tc>
          <w:tcPr>
            <w:tcW w:type="dxa" w:w="16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Liste et cartes</w:t>
            </w:r>
          </w:p>
        </w:tc>
        <w:tc>
          <w:tcPr>
            <w:tcW w:type="dxa" w:w="22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Chargement des données</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Consultation d’un produit</w:t>
            </w:r>
          </w:p>
        </w:tc>
      </w:tr>
      <w:tr>
        <w:trPr>
          <w:cantSplit/>
          <w:tblHeader w:val="false"/>
        </w:trPr>
        <w:tc>
          <w:tcPr>
            <w:tcW w:type="dxa" w:w="184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Recherche</w:t>
            </w:r>
          </w:p>
        </w:tc>
        <w:tc>
          <w:tcPr>
            <w:tcW w:type="dxa" w:w="193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Normalisation et filtres</w:t>
            </w:r>
          </w:p>
        </w:tc>
        <w:tc>
          <w:tcPr>
            <w:tcW w:type="dxa" w:w="162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Saisie et résultats</w:t>
            </w:r>
          </w:p>
        </w:tc>
        <w:tc>
          <w:tcPr>
            <w:tcW w:type="dxa" w:w="2296"/>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Appel API et pagination</w:t>
            </w:r>
          </w:p>
        </w:tc>
        <w:tc>
          <w:tcPr>
            <w:tcW w:type="dxa" w:w="1936"/>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Recherche d’un produit</w:t>
            </w:r>
          </w:p>
        </w:tc>
      </w:tr>
      <w:tr>
        <w:trPr>
          <w:cantSplit/>
          <w:tblHeader w:val="false"/>
        </w:trPr>
        <w:tc>
          <w:tcPr>
            <w:tcW w:type="dxa" w:w="18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Fiche produit</w:t>
            </w:r>
          </w:p>
        </w:tc>
        <w:tc>
          <w:tcPr>
            <w:tcW w:type="dxa" w:w="19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Formatage et fraîcheur</w:t>
            </w:r>
          </w:p>
        </w:tc>
        <w:tc>
          <w:tcPr>
            <w:tcW w:type="dxa" w:w="16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États et informations</w:t>
            </w:r>
          </w:p>
        </w:tc>
        <w:tc>
          <w:tcPr>
            <w:tcW w:type="dxa" w:w="22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Chargement des observations</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Ouverture d’une fiche</w:t>
            </w:r>
          </w:p>
        </w:tc>
      </w:tr>
      <w:tr>
        <w:trPr>
          <w:cantSplit/>
          <w:tblHeader w:val="false"/>
        </w:trPr>
        <w:tc>
          <w:tcPr>
            <w:tcW w:type="dxa" w:w="184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Comparaison</w:t>
            </w:r>
          </w:p>
        </w:tc>
        <w:tc>
          <w:tcPr>
            <w:tcW w:type="dxa" w:w="193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Équivalence et calculs</w:t>
            </w:r>
          </w:p>
        </w:tc>
        <w:tc>
          <w:tcPr>
            <w:tcW w:type="dxa" w:w="162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Affichage comparatif</w:t>
            </w:r>
          </w:p>
        </w:tc>
        <w:tc>
          <w:tcPr>
            <w:tcW w:type="dxa" w:w="2296"/>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Récupération des prix</w:t>
            </w:r>
          </w:p>
        </w:tc>
        <w:tc>
          <w:tcPr>
            <w:tcW w:type="dxa" w:w="1936"/>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Comparaison de produits</w:t>
            </w:r>
          </w:p>
        </w:tc>
      </w:tr>
      <w:tr>
        <w:trPr>
          <w:cantSplit/>
          <w:tblHeader w:val="false"/>
        </w:trPr>
        <w:tc>
          <w:tcPr>
            <w:tcW w:type="dxa" w:w="18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Disponibilité</w:t>
            </w:r>
          </w:p>
        </w:tc>
        <w:tc>
          <w:tcPr>
            <w:tcW w:type="dxa" w:w="19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Interprétation des statuts</w:t>
            </w:r>
          </w:p>
        </w:tc>
        <w:tc>
          <w:tcPr>
            <w:tcW w:type="dxa" w:w="16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Badges et messages</w:t>
            </w:r>
          </w:p>
        </w:tc>
        <w:tc>
          <w:tcPr>
            <w:tcW w:type="dxa" w:w="22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Données du magasin</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Vérification d’un statut</w:t>
            </w:r>
          </w:p>
        </w:tc>
      </w:tr>
      <w:tr>
        <w:trPr>
          <w:cantSplit/>
          <w:tblHeader w:val="false"/>
        </w:trPr>
        <w:tc>
          <w:tcPr>
            <w:tcW w:type="dxa" w:w="184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Cache hors ligne</w:t>
            </w:r>
          </w:p>
        </w:tc>
        <w:tc>
          <w:tcPr>
            <w:tcW w:type="dxa" w:w="193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Règles de cache</w:t>
            </w:r>
          </w:p>
        </w:tc>
        <w:tc>
          <w:tcPr>
            <w:tcW w:type="dxa" w:w="162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Indicateur hors ligne</w:t>
            </w:r>
          </w:p>
        </w:tc>
        <w:tc>
          <w:tcPr>
            <w:tcW w:type="dxa" w:w="2296"/>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Lecture locale et API</w:t>
            </w:r>
          </w:p>
        </w:tc>
        <w:tc>
          <w:tcPr>
            <w:tcW w:type="dxa" w:w="1936"/>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Consultation sans réseau</w:t>
            </w:r>
          </w:p>
        </w:tc>
      </w:tr>
      <w:tr>
        <w:trPr>
          <w:cantSplit/>
          <w:tblHeader w:val="false"/>
        </w:trPr>
        <w:tc>
          <w:tcPr>
            <w:tcW w:type="dxa" w:w="18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Erreurs API</w:t>
            </w:r>
          </w:p>
        </w:tc>
        <w:tc>
          <w:tcPr>
            <w:tcW w:type="dxa" w:w="19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Normalisation</w:t>
            </w:r>
          </w:p>
        </w:tc>
        <w:tc>
          <w:tcPr>
            <w:tcW w:type="dxa" w:w="16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Messages et actions</w:t>
            </w:r>
          </w:p>
        </w:tc>
        <w:tc>
          <w:tcPr>
            <w:tcW w:type="dxa" w:w="22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Réponses HTTP simulées</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Récupération après erreur</w:t>
            </w:r>
          </w:p>
        </w:tc>
      </w:tr>
      <w:tr>
        <w:trPr>
          <w:cantSplit/>
          <w:tblHeader w:val="false"/>
        </w:trPr>
        <w:tc>
          <w:tcPr>
            <w:tcW w:type="dxa" w:w="1848"/>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Session</w:t>
            </w:r>
          </w:p>
        </w:tc>
        <w:tc>
          <w:tcPr>
            <w:tcW w:type="dxa" w:w="1935"/>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Expiration et transitions</w:t>
            </w:r>
          </w:p>
        </w:tc>
        <w:tc>
          <w:tcPr>
            <w:tcW w:type="dxa" w:w="1623"/>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Écrans concernés</w:t>
            </w:r>
          </w:p>
        </w:tc>
        <w:tc>
          <w:tcPr>
            <w:tcW w:type="dxa" w:w="2296"/>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API d’authentification</w:t>
            </w:r>
          </w:p>
        </w:tc>
        <w:tc>
          <w:tcPr>
            <w:tcW w:type="dxa" w:w="1936"/>
            <w:tcBorders>
              <w:top w:val="single" w:color="BFBFBF" w:sz="4"/>
              <w:left w:val="single" w:color="BFBFBF" w:sz="4"/>
              <w:bottom w:val="single" w:color="BFBFBF" w:sz="4"/>
              <w:right w:val="single" w:color="BFBFBF" w:sz="4"/>
            </w:tcBorders>
            <w:shd w:fill="F2F5FA" w:color="auto" w:val="clear"/>
            <w:tcMar>
              <w:top w:type="dxa" w:w="70"/>
              <w:left w:type="dxa" w:w="100"/>
              <w:bottom w:type="dxa" w:w="70"/>
              <w:right w:type="dxa" w:w="100"/>
            </w:tcMar>
            <w:vAlign w:val="center"/>
          </w:tcPr>
          <w:p>
            <w:pPr>
              <w:spacing w:after="0" w:before="0"/>
              <w:jc w:val="left"/>
            </w:pPr>
            <w:r>
              <w:rPr>
                <w:sz w:val="19"/>
                <w:szCs w:val="19"/>
              </w:rPr>
              <w:t xml:space="preserve">Connexion et déconnexion</w:t>
            </w:r>
          </w:p>
        </w:tc>
      </w:tr>
      <w:tr>
        <w:trPr>
          <w:cantSplit/>
          <w:tblHeader w:val="false"/>
        </w:trPr>
        <w:tc>
          <w:tcPr>
            <w:tcW w:type="dxa" w:w="1848"/>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Contribution de prix</w:t>
            </w:r>
          </w:p>
        </w:tc>
        <w:tc>
          <w:tcPr>
            <w:tcW w:type="dxa" w:w="193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Validation locale</w:t>
            </w:r>
          </w:p>
        </w:tc>
        <w:tc>
          <w:tcPr>
            <w:tcW w:type="dxa" w:w="1623"/>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Formulaire</w:t>
            </w:r>
          </w:p>
        </w:tc>
        <w:tc>
          <w:tcPr>
            <w:tcW w:type="dxa" w:w="229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Envoi en ligne</w:t>
            </w:r>
          </w:p>
        </w:tc>
        <w:tc>
          <w:tcPr>
            <w:tcW w:type="dxa" w:w="1936"/>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pPr>
              <w:spacing w:after="0" w:before="0"/>
              <w:jc w:val="left"/>
            </w:pPr>
            <w:r>
              <w:rPr>
                <w:sz w:val="19"/>
                <w:szCs w:val="19"/>
              </w:rPr>
              <w:t xml:space="preserve">Soumission et confirmation</w:t>
            </w:r>
          </w:p>
        </w:tc>
      </w:tr>
    </w:tbl>
    <w:p>
      <w:pPr>
        <w:spacing w:after="120" w:before="0"/>
      </w:pPr>
    </w:p>
    <w:p>
      <w:pPr>
        <w:spacing w:after="120" w:before="60"/>
      </w:pPr>
      <w:r>
        <w:t xml:space="preserve">La matrice sera ajustée lorsque le périmètre fonctionnel du MVP et les contrats API seront figés.</w:t>
      </w:r>
    </w:p>
    <w:p>
      <w:pPr>
        <w:pStyle w:val="Heading1"/>
      </w:pPr>
      <w:r>
        <w:t xml:space="preserve">6. Référentiel des cas de test</w:t>
      </w:r>
    </w:p>
    <w:p>
      <w:pPr>
        <w:pStyle w:val="Heading2"/>
      </w:pPr>
      <w:r>
        <w:t xml:space="preserve">6.1 Démarrage et navigation</w:t>
      </w:r>
    </w:p>
    <w:p>
      <w:pPr>
        <w:pStyle w:val="Heading3"/>
      </w:pPr>
      <w:r>
        <w:t xml:space="preserve">TEST-FE-001 — Démarrage nominal</w:t>
      </w:r>
    </w:p>
    <w:p>
      <w:pPr>
        <w:pStyle w:val="ListParagraph"/>
        <w:numPr>
          <w:ilvl w:val="0"/>
          <w:numId w:val="2"/>
        </w:numPr>
        <w:spacing w:after="60"/>
      </w:pPr>
      <w:r>
        <w:t xml:space="preserve">Précondition : configuration valide.</w:t>
      </w:r>
    </w:p>
    <w:p>
      <w:pPr>
        <w:pStyle w:val="ListParagraph"/>
        <w:numPr>
          <w:ilvl w:val="0"/>
          <w:numId w:val="2"/>
        </w:numPr>
        <w:spacing w:after="60"/>
      </w:pPr>
      <w:r>
        <w:t xml:space="preserve">Action : lancer l’application.</w:t>
      </w:r>
    </w:p>
    <w:p>
      <w:pPr>
        <w:pStyle w:val="ListParagraph"/>
        <w:numPr>
          <w:ilvl w:val="0"/>
          <w:numId w:val="2"/>
        </w:numPr>
        <w:spacing w:after="60"/>
      </w:pPr>
      <w:r>
        <w:t xml:space="preserve">Résultat attendu : l’application démarre sans exception bloquante et affiche l’écran initial prévu.</w:t>
      </w:r>
    </w:p>
    <w:p>
      <w:pPr>
        <w:pStyle w:val="Heading3"/>
      </w:pPr>
      <w:r>
        <w:t xml:space="preserve">TEST-FE-002 — Navigation entre les écrans</w:t>
      </w:r>
    </w:p>
    <w:p>
      <w:pPr>
        <w:pStyle w:val="ListParagraph"/>
        <w:numPr>
          <w:ilvl w:val="0"/>
          <w:numId w:val="2"/>
        </w:numPr>
        <w:spacing w:after="60"/>
      </w:pPr>
      <w:r>
        <w:t xml:space="preserve">Action : naviguer du catalogue à la fiche produit, puis revenir au catalogue.</w:t>
      </w:r>
    </w:p>
    <w:p>
      <w:pPr>
        <w:pStyle w:val="ListParagraph"/>
        <w:numPr>
          <w:ilvl w:val="0"/>
          <w:numId w:val="2"/>
        </w:numPr>
        <w:spacing w:after="60"/>
      </w:pPr>
      <w:r>
        <w:t xml:space="preserve">Résultat attendu : les écrans s’affichent correctement et la navigation respecte les règles définies.</w:t>
      </w:r>
    </w:p>
    <w:p>
      <w:pPr>
        <w:pStyle w:val="Heading3"/>
      </w:pPr>
      <w:r>
        <w:t xml:space="preserve">TEST-FE-003 — Erreur de configuration</w:t>
      </w:r>
    </w:p>
    <w:p>
      <w:pPr>
        <w:pStyle w:val="ListParagraph"/>
        <w:numPr>
          <w:ilvl w:val="0"/>
          <w:numId w:val="2"/>
        </w:numPr>
        <w:spacing w:after="60"/>
      </w:pPr>
      <w:r>
        <w:t xml:space="preserve">Précondition : configuration indispensable absente ou invalide.</w:t>
      </w:r>
    </w:p>
    <w:p>
      <w:pPr>
        <w:pStyle w:val="ListParagraph"/>
        <w:numPr>
          <w:ilvl w:val="0"/>
          <w:numId w:val="2"/>
        </w:numPr>
        <w:spacing w:after="60"/>
      </w:pPr>
      <w:r>
        <w:t xml:space="preserve">Action : lancer l’application dans un environnement de test.</w:t>
      </w:r>
    </w:p>
    <w:p>
      <w:pPr>
        <w:pStyle w:val="ListParagraph"/>
        <w:numPr>
          <w:ilvl w:val="0"/>
          <w:numId w:val="2"/>
        </w:numPr>
        <w:spacing w:after="60"/>
      </w:pPr>
      <w:r>
        <w:t xml:space="preserve">Résultat attendu : l’erreur est détectée et traitée sans afficher de secret ni provoquer une fermeture silencieuse.</w:t>
      </w:r>
    </w:p>
    <w:p>
      <w:pPr>
        <w:pStyle w:val="Heading2"/>
      </w:pPr>
      <w:r>
        <w:t xml:space="preserve">6.2 Recherche et catalogue</w:t>
      </w:r>
    </w:p>
    <w:p>
      <w:pPr>
        <w:pStyle w:val="Heading3"/>
      </w:pPr>
      <w:r>
        <w:t xml:space="preserve">TEST-FE-004 — Recherche avec résultats</w:t>
      </w:r>
    </w:p>
    <w:p>
      <w:pPr>
        <w:pStyle w:val="ListParagraph"/>
        <w:numPr>
          <w:ilvl w:val="0"/>
          <w:numId w:val="2"/>
        </w:numPr>
        <w:spacing w:after="60"/>
      </w:pPr>
      <w:r>
        <w:t xml:space="preserve">Action : rechercher un produit existant.</w:t>
      </w:r>
    </w:p>
    <w:p>
      <w:pPr>
        <w:pStyle w:val="ListParagraph"/>
        <w:numPr>
          <w:ilvl w:val="0"/>
          <w:numId w:val="2"/>
        </w:numPr>
        <w:spacing w:after="60"/>
      </w:pPr>
      <w:r>
        <w:t xml:space="preserve">Résultat attendu : les résultats correspondent aux critères et chaque élément présente les informations disponibles.</w:t>
      </w:r>
    </w:p>
    <w:p>
      <w:pPr>
        <w:pStyle w:val="Heading3"/>
      </w:pPr>
      <w:r>
        <w:t xml:space="preserve">TEST-FE-005 — Recherche sans résultat</w:t>
      </w:r>
    </w:p>
    <w:p>
      <w:pPr>
        <w:pStyle w:val="ListParagraph"/>
        <w:numPr>
          <w:ilvl w:val="0"/>
          <w:numId w:val="2"/>
        </w:numPr>
        <w:spacing w:after="60"/>
      </w:pPr>
      <w:r>
        <w:t xml:space="preserve">Action : rechercher un produit inexistant.</w:t>
      </w:r>
    </w:p>
    <w:p>
      <w:pPr>
        <w:pStyle w:val="ListParagraph"/>
        <w:numPr>
          <w:ilvl w:val="0"/>
          <w:numId w:val="2"/>
        </w:numPr>
        <w:spacing w:after="60"/>
      </w:pPr>
      <w:r>
        <w:t xml:space="preserve">Résultat attendu : un état vide explicite est affiché. L’application ne présente pas l’absence de résultat comme une erreur serveur.</w:t>
      </w:r>
    </w:p>
    <w:p>
      <w:pPr>
        <w:pStyle w:val="Heading3"/>
      </w:pPr>
      <w:r>
        <w:t xml:space="preserve">TEST-FE-006 — Recherche avec réseau indisponible</w:t>
      </w:r>
    </w:p>
    <w:p>
      <w:pPr>
        <w:pStyle w:val="ListParagraph"/>
        <w:numPr>
          <w:ilvl w:val="0"/>
          <w:numId w:val="2"/>
        </w:numPr>
        <w:spacing w:after="60"/>
      </w:pPr>
      <w:r>
        <w:t xml:space="preserve">Action : lancer une recherche sans connexion.</w:t>
      </w:r>
    </w:p>
    <w:p>
      <w:pPr>
        <w:pStyle w:val="ListParagraph"/>
        <w:numPr>
          <w:ilvl w:val="0"/>
          <w:numId w:val="2"/>
        </w:numPr>
        <w:spacing w:after="60"/>
      </w:pPr>
      <w:r>
        <w:t xml:space="preserve">Résultat attendu : l’application affiche les résultats en cache lorsqu’ils sont disponibles et autorisés ; sinon, elle explique que les données ne peuvent pas être récupérées.</w:t>
      </w:r>
    </w:p>
    <w:p>
      <w:pPr>
        <w:pStyle w:val="Heading3"/>
      </w:pPr>
      <w:r>
        <w:t xml:space="preserve">TEST-FE-007 — Pagination</w:t>
      </w:r>
    </w:p>
    <w:p>
      <w:pPr>
        <w:pStyle w:val="ListParagraph"/>
        <w:numPr>
          <w:ilvl w:val="0"/>
          <w:numId w:val="2"/>
        </w:numPr>
        <w:spacing w:after="60"/>
      </w:pPr>
      <w:r>
        <w:t xml:space="preserve">Action : charger plusieurs pages de résultats.</w:t>
      </w:r>
    </w:p>
    <w:p>
      <w:pPr>
        <w:pStyle w:val="ListParagraph"/>
        <w:numPr>
          <w:ilvl w:val="0"/>
          <w:numId w:val="2"/>
        </w:numPr>
        <w:spacing w:after="60"/>
      </w:pPr>
      <w:r>
        <w:t xml:space="preserve">Résultat attendu : les résultats sont ajoutés correctement, sans doublons involontaires, et un état de chargement est présenté pendant l’opération.</w:t>
      </w:r>
    </w:p>
    <w:p>
      <w:pPr>
        <w:pStyle w:val="Heading3"/>
      </w:pPr>
      <w:r>
        <w:t xml:space="preserve">TEST-FE-008 — Réponses concurrentes</w:t>
      </w:r>
    </w:p>
    <w:p>
      <w:pPr>
        <w:pStyle w:val="ListParagraph"/>
        <w:numPr>
          <w:ilvl w:val="0"/>
          <w:numId w:val="2"/>
        </w:numPr>
        <w:spacing w:after="60"/>
      </w:pPr>
      <w:r>
        <w:t xml:space="preserve">Action : déclencher plusieurs recherches successives avec des temps de réponse différents.</w:t>
      </w:r>
    </w:p>
    <w:p>
      <w:pPr>
        <w:pStyle w:val="ListParagraph"/>
        <w:numPr>
          <w:ilvl w:val="0"/>
          <w:numId w:val="2"/>
        </w:numPr>
        <w:spacing w:after="60"/>
      </w:pPr>
      <w:r>
        <w:t xml:space="preserve">Résultat attendu : une réponse ancienne ne remplace pas les résultats correspondant à la recherche la plus récente.</w:t>
      </w:r>
    </w:p>
    <w:p>
      <w:pPr>
        <w:pStyle w:val="Heading2"/>
      </w:pPr>
      <w:r>
        <w:t xml:space="preserve">6.3 Fiche produit et prix</w:t>
      </w:r>
    </w:p>
    <w:p>
      <w:pPr>
        <w:pStyle w:val="Heading3"/>
      </w:pPr>
      <w:r>
        <w:t xml:space="preserve">TEST-FE-009 — Affichage d’une observation</w:t>
      </w:r>
    </w:p>
    <w:p>
      <w:pPr>
        <w:pStyle w:val="ListParagraph"/>
        <w:numPr>
          <w:ilvl w:val="0"/>
          <w:numId w:val="2"/>
        </w:numPr>
        <w:spacing w:after="60"/>
      </w:pPr>
      <w:r>
        <w:t xml:space="preserve">Précondition : observation valide avec montant, devise, quantité, unité, source et date disponibles.</w:t>
      </w:r>
    </w:p>
    <w:p>
      <w:pPr>
        <w:pStyle w:val="ListParagraph"/>
        <w:numPr>
          <w:ilvl w:val="0"/>
          <w:numId w:val="2"/>
        </w:numPr>
        <w:spacing w:after="60"/>
      </w:pPr>
      <w:r>
        <w:t xml:space="preserve">Résultat attendu : les informations sont affichées conformément au contrat API et aux règles de présentation.</w:t>
      </w:r>
    </w:p>
    <w:p>
      <w:pPr>
        <w:pStyle w:val="Heading3"/>
      </w:pPr>
      <w:r>
        <w:t xml:space="preserve">TEST-FE-010 — Observation ancienne</w:t>
      </w:r>
    </w:p>
    <w:p>
      <w:pPr>
        <w:pStyle w:val="ListParagraph"/>
        <w:numPr>
          <w:ilvl w:val="0"/>
          <w:numId w:val="2"/>
        </w:numPr>
        <w:spacing w:after="60"/>
      </w:pPr>
      <w:r>
        <w:t xml:space="preserve">Précondition : observation dépassant le seuil de fraîcheur défini.</w:t>
      </w:r>
    </w:p>
    <w:p>
      <w:pPr>
        <w:pStyle w:val="ListParagraph"/>
        <w:numPr>
          <w:ilvl w:val="0"/>
          <w:numId w:val="2"/>
        </w:numPr>
        <w:spacing w:after="60"/>
      </w:pPr>
      <w:r>
        <w:t xml:space="preserve">Résultat attendu : l’interface indique que le prix est ancien ou potentiellement périmé, selon la règle métier retenue.</w:t>
      </w:r>
    </w:p>
    <w:p>
      <w:pPr>
        <w:pStyle w:val="Heading3"/>
      </w:pPr>
      <w:r>
        <w:t xml:space="preserve">TEST-FE-011 — Dates distinctes</w:t>
      </w:r>
    </w:p>
    <w:p>
      <w:pPr>
        <w:pStyle w:val="ListParagraph"/>
        <w:numPr>
          <w:ilvl w:val="0"/>
          <w:numId w:val="2"/>
        </w:numPr>
        <w:spacing w:after="60"/>
      </w:pPr>
      <w:r>
        <w:t xml:space="preserve">Précondition : date d’observation différente de la date de synchronisation.</w:t>
      </w:r>
    </w:p>
    <w:p>
      <w:pPr>
        <w:pStyle w:val="ListParagraph"/>
        <w:numPr>
          <w:ilvl w:val="0"/>
          <w:numId w:val="2"/>
        </w:numPr>
        <w:spacing w:after="60"/>
      </w:pPr>
      <w:r>
        <w:t xml:space="preserve">Résultat attendu : les deux dates ne sont pas confondues dans l’interface.</w:t>
      </w:r>
    </w:p>
    <w:p>
      <w:pPr>
        <w:pStyle w:val="Heading3"/>
      </w:pPr>
      <w:r>
        <w:t xml:space="preserve">TEST-FE-012 — Montant ou devise invalide</w:t>
      </w:r>
    </w:p>
    <w:p>
      <w:pPr>
        <w:pStyle w:val="ListParagraph"/>
        <w:numPr>
          <w:ilvl w:val="0"/>
          <w:numId w:val="2"/>
        </w:numPr>
        <w:spacing w:after="60"/>
      </w:pPr>
      <w:r>
        <w:t xml:space="preserve">Précondition : données incomplètes ou invalides.</w:t>
      </w:r>
    </w:p>
    <w:p>
      <w:pPr>
        <w:pStyle w:val="ListParagraph"/>
        <w:numPr>
          <w:ilvl w:val="0"/>
          <w:numId w:val="2"/>
        </w:numPr>
        <w:spacing w:after="60"/>
      </w:pPr>
      <w:r>
        <w:t xml:space="preserve">Résultat attendu : aucune valeur trompeuse n’est affichée ; une information indisponible ou une erreur de données est présentée.</w:t>
      </w:r>
    </w:p>
    <w:p>
      <w:pPr>
        <w:pStyle w:val="Heading3"/>
      </w:pPr>
      <w:r>
        <w:t xml:space="preserve">TEST-FE-013 — Disponibilité inconnue</w:t>
      </w:r>
    </w:p>
    <w:p>
      <w:pPr>
        <w:pStyle w:val="ListParagraph"/>
        <w:numPr>
          <w:ilvl w:val="0"/>
          <w:numId w:val="2"/>
        </w:numPr>
        <w:spacing w:after="60"/>
      </w:pPr>
      <w:r>
        <w:t xml:space="preserve">Précondition : statut de disponibilité inconnu.</w:t>
      </w:r>
    </w:p>
    <w:p>
      <w:pPr>
        <w:pStyle w:val="ListParagraph"/>
        <w:numPr>
          <w:ilvl w:val="0"/>
          <w:numId w:val="2"/>
        </w:numPr>
        <w:spacing w:after="60"/>
      </w:pPr>
      <w:r>
        <w:t xml:space="preserve">Résultat attendu : l’interface présente l’incertitude explicitement et n’affiche pas le produit comme disponible.</w:t>
      </w:r>
    </w:p>
    <w:p>
      <w:pPr>
        <w:pStyle w:val="Heading2"/>
      </w:pPr>
      <w:r>
        <w:t xml:space="preserve">6.4 Comparaison</w:t>
      </w:r>
    </w:p>
    <w:p>
      <w:pPr>
        <w:pStyle w:val="Heading3"/>
      </w:pPr>
      <w:r>
        <w:t xml:space="preserve">TEST-FE-014 — Comparaison de produits équivalents</w:t>
      </w:r>
    </w:p>
    <w:p>
      <w:pPr>
        <w:pStyle w:val="ListParagraph"/>
        <w:numPr>
          <w:ilvl w:val="0"/>
          <w:numId w:val="2"/>
        </w:numPr>
        <w:spacing w:after="60"/>
      </w:pPr>
      <w:r>
        <w:t xml:space="preserve">Action : comparer des offres concernant le même produit, le même format et la même quantité.</w:t>
      </w:r>
    </w:p>
    <w:p>
      <w:pPr>
        <w:pStyle w:val="ListParagraph"/>
        <w:numPr>
          <w:ilvl w:val="0"/>
          <w:numId w:val="2"/>
        </w:numPr>
        <w:spacing w:after="60"/>
      </w:pPr>
      <w:r>
        <w:t xml:space="preserve">Résultat attendu : les offres sont comparées sur une base homogène et les montants sont correctement ordonnés.</w:t>
      </w:r>
    </w:p>
    <w:p>
      <w:pPr>
        <w:pStyle w:val="Heading3"/>
      </w:pPr>
      <w:r>
        <w:t xml:space="preserve">TEST-FE-015 — Produits non équivalents</w:t>
      </w:r>
    </w:p>
    <w:p>
      <w:pPr>
        <w:pStyle w:val="ListParagraph"/>
        <w:numPr>
          <w:ilvl w:val="0"/>
          <w:numId w:val="2"/>
        </w:numPr>
        <w:spacing w:after="60"/>
      </w:pPr>
      <w:r>
        <w:t xml:space="preserve">Action : tenter de comparer des produits de formats ou quantités différents.</w:t>
      </w:r>
    </w:p>
    <w:p>
      <w:pPr>
        <w:pStyle w:val="ListParagraph"/>
        <w:numPr>
          <w:ilvl w:val="0"/>
          <w:numId w:val="2"/>
        </w:numPr>
        <w:spacing w:after="60"/>
      </w:pPr>
      <w:r>
        <w:t xml:space="preserve">Résultat attendu : l’interface ne les présente pas comme strictement équivalents. Une comparaison normalisée ne peut être affichée que si les règles métier le permettent.</w:t>
      </w:r>
    </w:p>
    <w:p>
      <w:pPr>
        <w:pStyle w:val="Heading3"/>
      </w:pPr>
      <w:r>
        <w:t xml:space="preserve">TEST-FE-016 — Prix manquant</w:t>
      </w:r>
    </w:p>
    <w:p>
      <w:pPr>
        <w:pStyle w:val="ListParagraph"/>
        <w:numPr>
          <w:ilvl w:val="0"/>
          <w:numId w:val="2"/>
        </w:numPr>
        <w:spacing w:after="60"/>
      </w:pPr>
      <w:r>
        <w:t xml:space="preserve">Précondition : une offre ne contient aucun prix exploitable.</w:t>
      </w:r>
    </w:p>
    <w:p>
      <w:pPr>
        <w:pStyle w:val="ListParagraph"/>
        <w:numPr>
          <w:ilvl w:val="0"/>
          <w:numId w:val="2"/>
        </w:numPr>
        <w:spacing w:after="60"/>
      </w:pPr>
      <w:r>
        <w:t xml:space="preserve">Résultat attendu : l’offre n’est pas classée comme si son prix était nul.</w:t>
      </w:r>
    </w:p>
    <w:p>
      <w:pPr>
        <w:pStyle w:val="Heading3"/>
      </w:pPr>
      <w:r>
        <w:t xml:space="preserve">TEST-FE-017 — Égalité des prix</w:t>
      </w:r>
    </w:p>
    <w:p>
      <w:pPr>
        <w:pStyle w:val="ListParagraph"/>
        <w:numPr>
          <w:ilvl w:val="0"/>
          <w:numId w:val="2"/>
        </w:numPr>
        <w:spacing w:after="60"/>
      </w:pPr>
      <w:r>
        <w:t xml:space="preserve">Précondition : plusieurs offres ont le même prix comparable.</w:t>
      </w:r>
    </w:p>
    <w:p>
      <w:pPr>
        <w:pStyle w:val="ListParagraph"/>
        <w:numPr>
          <w:ilvl w:val="0"/>
          <w:numId w:val="2"/>
        </w:numPr>
        <w:spacing w:after="60"/>
      </w:pPr>
      <w:r>
        <w:t xml:space="preserve">Résultat attendu : les offres sont présentées de manière cohérente, sans classement arbitraire susceptible d’induire l’utilisateur en erreur.</w:t>
      </w:r>
    </w:p>
    <w:p>
      <w:pPr>
        <w:pStyle w:val="Heading2"/>
      </w:pPr>
      <w:r>
        <w:t xml:space="preserve">6.5 API et gestion des erreurs</w:t>
      </w:r>
    </w:p>
    <w:p>
      <w:pPr>
        <w:pStyle w:val="Heading3"/>
      </w:pPr>
      <w:r>
        <w:t xml:space="preserve">TEST-FE-018 — Réponse HTTP réussie</w:t>
      </w:r>
    </w:p>
    <w:p>
      <w:pPr>
        <w:pStyle w:val="ListParagraph"/>
        <w:numPr>
          <w:ilvl w:val="0"/>
          <w:numId w:val="2"/>
        </w:numPr>
        <w:spacing w:after="60"/>
      </w:pPr>
      <w:r>
        <w:t xml:space="preserve">Action : recevoir une réponse valide.</w:t>
      </w:r>
    </w:p>
    <w:p>
      <w:pPr>
        <w:pStyle w:val="ListParagraph"/>
        <w:numPr>
          <w:ilvl w:val="0"/>
          <w:numId w:val="2"/>
        </w:numPr>
        <w:spacing w:after="60"/>
      </w:pPr>
      <w:r>
        <w:t xml:space="preserve">Résultat attendu : les données sont converties et présentées correctement.</w:t>
      </w:r>
    </w:p>
    <w:p>
      <w:pPr>
        <w:pStyle w:val="Heading3"/>
      </w:pPr>
      <w:r>
        <w:t xml:space="preserve">TEST-FE-019 — Erreur HTTP 400 ou 422</w:t>
      </w:r>
    </w:p>
    <w:p>
      <w:pPr>
        <w:pStyle w:val="ListParagraph"/>
        <w:numPr>
          <w:ilvl w:val="0"/>
          <w:numId w:val="2"/>
        </w:numPr>
        <w:spacing w:after="60"/>
      </w:pPr>
      <w:r>
        <w:t xml:space="preserve">Action : recevoir une erreur de validation lorsque ce statut est utilisé par le contrat API.</w:t>
      </w:r>
    </w:p>
    <w:p>
      <w:pPr>
        <w:pStyle w:val="ListParagraph"/>
        <w:numPr>
          <w:ilvl w:val="0"/>
          <w:numId w:val="2"/>
        </w:numPr>
        <w:spacing w:after="60"/>
      </w:pPr>
      <w:r>
        <w:t xml:space="preserve">Résultat attendu : un message exploitable est affiché et les champs concernés sont traités conformément au contrat.</w:t>
      </w:r>
    </w:p>
    <w:p>
      <w:pPr>
        <w:pStyle w:val="Heading3"/>
      </w:pPr>
      <w:r>
        <w:t xml:space="preserve">TEST-FE-020 — Erreur HTTP 401</w:t>
      </w:r>
    </w:p>
    <w:p>
      <w:pPr>
        <w:pStyle w:val="ListParagraph"/>
        <w:numPr>
          <w:ilvl w:val="0"/>
          <w:numId w:val="2"/>
        </w:numPr>
        <w:spacing w:after="60"/>
      </w:pPr>
      <w:r>
        <w:t xml:space="preserve">Action : recevoir une réponse indiquant que l’authentification est invalide ou expirée.</w:t>
      </w:r>
    </w:p>
    <w:p>
      <w:pPr>
        <w:pStyle w:val="ListParagraph"/>
        <w:numPr>
          <w:ilvl w:val="0"/>
          <w:numId w:val="2"/>
        </w:numPr>
        <w:spacing w:after="60"/>
      </w:pPr>
      <w:r>
        <w:t xml:space="preserve">Résultat attendu : la session est traitée conformément à la politique d’authentification ; aucune boucle de requêtes de rafraîchissement ne se produit.</w:t>
      </w:r>
    </w:p>
    <w:p>
      <w:pPr>
        <w:pStyle w:val="Heading3"/>
      </w:pPr>
      <w:r>
        <w:t xml:space="preserve">TEST-FE-021 — Erreur HTTP 403</w:t>
      </w:r>
    </w:p>
    <w:p>
      <w:pPr>
        <w:pStyle w:val="ListParagraph"/>
        <w:numPr>
          <w:ilvl w:val="0"/>
          <w:numId w:val="2"/>
        </w:numPr>
        <w:spacing w:after="60"/>
      </w:pPr>
      <w:r>
        <w:t xml:space="preserve">Action : accéder à une ressource sans autorisation.</w:t>
      </w:r>
    </w:p>
    <w:p>
      <w:pPr>
        <w:pStyle w:val="ListParagraph"/>
        <w:numPr>
          <w:ilvl w:val="0"/>
          <w:numId w:val="2"/>
        </w:numPr>
        <w:spacing w:after="60"/>
      </w:pPr>
      <w:r>
        <w:t xml:space="preserve">Résultat attendu : l’application affiche un refus d’accès adapté et ne contourne pas la restriction.</w:t>
      </w:r>
    </w:p>
    <w:p>
      <w:pPr>
        <w:pStyle w:val="Heading3"/>
      </w:pPr>
      <w:r>
        <w:t xml:space="preserve">TEST-FE-022 — Erreur HTTP 429</w:t>
      </w:r>
    </w:p>
    <w:p>
      <w:pPr>
        <w:pStyle w:val="ListParagraph"/>
        <w:numPr>
          <w:ilvl w:val="0"/>
          <w:numId w:val="2"/>
        </w:numPr>
        <w:spacing w:after="60"/>
      </w:pPr>
      <w:r>
        <w:t xml:space="preserve">Action : recevoir une réponse de limitation de débit.</w:t>
      </w:r>
    </w:p>
    <w:p>
      <w:pPr>
        <w:pStyle w:val="ListParagraph"/>
        <w:numPr>
          <w:ilvl w:val="0"/>
          <w:numId w:val="2"/>
        </w:numPr>
        <w:spacing w:after="60"/>
      </w:pPr>
      <w:r>
        <w:t xml:space="preserve">Résultat attendu : l’application informe l’utilisateur et respecte les règles de nouvelle tentative prévues par le contrat.</w:t>
      </w:r>
    </w:p>
    <w:p>
      <w:pPr>
        <w:pStyle w:val="Heading3"/>
      </w:pPr>
      <w:r>
        <w:t xml:space="preserve">TEST-FE-023 — Erreur HTTP 5xx</w:t>
      </w:r>
    </w:p>
    <w:p>
      <w:pPr>
        <w:pStyle w:val="ListParagraph"/>
        <w:numPr>
          <w:ilvl w:val="0"/>
          <w:numId w:val="2"/>
        </w:numPr>
        <w:spacing w:after="60"/>
      </w:pPr>
      <w:r>
        <w:t xml:space="preserve">Action : recevoir une erreur serveur.</w:t>
      </w:r>
    </w:p>
    <w:p>
      <w:pPr>
        <w:pStyle w:val="ListParagraph"/>
        <w:numPr>
          <w:ilvl w:val="0"/>
          <w:numId w:val="2"/>
        </w:numPr>
        <w:spacing w:after="60"/>
      </w:pPr>
      <w:r>
        <w:t xml:space="preserve">Résultat attendu : un message non technique est affiché ; les détails internes ne sont pas exposés.</w:t>
      </w:r>
    </w:p>
    <w:p>
      <w:pPr>
        <w:pStyle w:val="Heading3"/>
      </w:pPr>
      <w:r>
        <w:t xml:space="preserve">TEST-FE-024 — Réponse JSON invalide</w:t>
      </w:r>
    </w:p>
    <w:p>
      <w:pPr>
        <w:pStyle w:val="ListParagraph"/>
        <w:numPr>
          <w:ilvl w:val="0"/>
          <w:numId w:val="2"/>
        </w:numPr>
        <w:spacing w:after="60"/>
      </w:pPr>
      <w:r>
        <w:t xml:space="preserve">Action : recevoir une réponse non conforme au modèle attendu.</w:t>
      </w:r>
    </w:p>
    <w:p>
      <w:pPr>
        <w:pStyle w:val="ListParagraph"/>
        <w:numPr>
          <w:ilvl w:val="0"/>
          <w:numId w:val="2"/>
        </w:numPr>
        <w:spacing w:after="60"/>
      </w:pPr>
      <w:r>
        <w:t xml:space="preserve">Résultat attendu : l’erreur est capturée et traitée sans plantage de l’écran.</w:t>
      </w:r>
    </w:p>
    <w:p>
      <w:pPr>
        <w:pStyle w:val="Heading2"/>
      </w:pPr>
      <w:r>
        <w:t xml:space="preserve">6.6 Mode hors ligne et cache</w:t>
      </w:r>
    </w:p>
    <w:p>
      <w:pPr>
        <w:pStyle w:val="Heading3"/>
      </w:pPr>
      <w:r>
        <w:t xml:space="preserve">TEST-FE-025 — Consultation hors ligne avec cache valide</w:t>
      </w:r>
    </w:p>
    <w:p>
      <w:pPr>
        <w:pStyle w:val="ListParagraph"/>
        <w:numPr>
          <w:ilvl w:val="0"/>
          <w:numId w:val="2"/>
        </w:numPr>
        <w:spacing w:after="60"/>
      </w:pPr>
      <w:r>
        <w:t xml:space="preserve">Précondition : données déjà mises en cache et encore consultables.</w:t>
      </w:r>
    </w:p>
    <w:p>
      <w:pPr>
        <w:pStyle w:val="ListParagraph"/>
        <w:numPr>
          <w:ilvl w:val="0"/>
          <w:numId w:val="2"/>
        </w:numPr>
        <w:spacing w:after="60"/>
      </w:pPr>
      <w:r>
        <w:t xml:space="preserve">Action : couper la connexion et ouvrir les données concernées.</w:t>
      </w:r>
    </w:p>
    <w:p>
      <w:pPr>
        <w:pStyle w:val="ListParagraph"/>
        <w:numPr>
          <w:ilvl w:val="0"/>
          <w:numId w:val="2"/>
        </w:numPr>
        <w:spacing w:after="60"/>
      </w:pPr>
      <w:r>
        <w:t xml:space="preserve">Résultat attendu : les données autorisées sont consultables et l’interface indique que l’utilisateur est hors ligne.</w:t>
      </w:r>
    </w:p>
    <w:p>
      <w:pPr>
        <w:pStyle w:val="Heading3"/>
      </w:pPr>
      <w:r>
        <w:t xml:space="preserve">TEST-FE-026 — Consultation hors ligne avec cache ancien</w:t>
      </w:r>
    </w:p>
    <w:p>
      <w:pPr>
        <w:pStyle w:val="ListParagraph"/>
        <w:numPr>
          <w:ilvl w:val="0"/>
          <w:numId w:val="2"/>
        </w:numPr>
        <w:spacing w:after="60"/>
      </w:pPr>
      <w:r>
        <w:t xml:space="preserve">Précondition : données disponibles en cache, mais dépassant le seuil de fraîcheur.</w:t>
      </w:r>
    </w:p>
    <w:p>
      <w:pPr>
        <w:pStyle w:val="ListParagraph"/>
        <w:numPr>
          <w:ilvl w:val="0"/>
          <w:numId w:val="2"/>
        </w:numPr>
        <w:spacing w:after="60"/>
      </w:pPr>
      <w:r>
        <w:t xml:space="preserve">Résultat attendu : les données peuvent être présentées conformément à la politique retenue, avec un indicateur clair de leur ancienneté. Elles ne sont jamais présentées comme des prix actuels vérifiés.</w:t>
      </w:r>
    </w:p>
    <w:p>
      <w:pPr>
        <w:pStyle w:val="Heading3"/>
      </w:pPr>
      <w:r>
        <w:t xml:space="preserve">TEST-FE-027 — Cache absent</w:t>
      </w:r>
    </w:p>
    <w:p>
      <w:pPr>
        <w:pStyle w:val="ListParagraph"/>
        <w:numPr>
          <w:ilvl w:val="0"/>
          <w:numId w:val="2"/>
        </w:numPr>
        <w:spacing w:after="60"/>
      </w:pPr>
      <w:r>
        <w:t xml:space="preserve">Précondition : aucune donnée locale pour la ressource demandée.</w:t>
      </w:r>
    </w:p>
    <w:p>
      <w:pPr>
        <w:pStyle w:val="ListParagraph"/>
        <w:numPr>
          <w:ilvl w:val="0"/>
          <w:numId w:val="2"/>
        </w:numPr>
        <w:spacing w:after="60"/>
      </w:pPr>
      <w:r>
        <w:t xml:space="preserve">Action : consulter cette ressource hors ligne.</w:t>
      </w:r>
    </w:p>
    <w:p>
      <w:pPr>
        <w:pStyle w:val="ListParagraph"/>
        <w:numPr>
          <w:ilvl w:val="0"/>
          <w:numId w:val="2"/>
        </w:numPr>
        <w:spacing w:after="60"/>
      </w:pPr>
      <w:r>
        <w:t xml:space="preserve">Résultat attendu : l’application indique que les données ne sont pas disponibles hors connexion.</w:t>
      </w:r>
    </w:p>
    <w:p>
      <w:pPr>
        <w:pStyle w:val="Heading3"/>
      </w:pPr>
      <w:r>
        <w:t xml:space="preserve">TEST-FE-028 — Rafraîchissement échoué</w:t>
      </w:r>
    </w:p>
    <w:p>
      <w:pPr>
        <w:pStyle w:val="ListParagraph"/>
        <w:numPr>
          <w:ilvl w:val="0"/>
          <w:numId w:val="2"/>
        </w:numPr>
        <w:spacing w:after="60"/>
      </w:pPr>
      <w:r>
        <w:t xml:space="preserve">Précondition : données en cache et API indisponible.</w:t>
      </w:r>
    </w:p>
    <w:p>
      <w:pPr>
        <w:pStyle w:val="ListParagraph"/>
        <w:numPr>
          <w:ilvl w:val="0"/>
          <w:numId w:val="2"/>
        </w:numPr>
        <w:spacing w:after="60"/>
      </w:pPr>
      <w:r>
        <w:t xml:space="preserve">Action : demander un rafraîchissement.</w:t>
      </w:r>
    </w:p>
    <w:p>
      <w:pPr>
        <w:pStyle w:val="ListParagraph"/>
        <w:numPr>
          <w:ilvl w:val="0"/>
          <w:numId w:val="2"/>
        </w:numPr>
        <w:spacing w:after="60"/>
      </w:pPr>
      <w:r>
        <w:t xml:space="preserve">Résultat attendu : les données locales autorisées restent consultables, le dernier rafraîchissement réussi est identifiable et l’échec est signalé.</w:t>
      </w:r>
    </w:p>
    <w:p>
      <w:pPr>
        <w:pStyle w:val="Heading3"/>
      </w:pPr>
      <w:r>
        <w:t xml:space="preserve">TEST-FE-029 — Création d’observation hors ligne</w:t>
      </w:r>
    </w:p>
    <w:p>
      <w:pPr>
        <w:pStyle w:val="ListParagraph"/>
        <w:numPr>
          <w:ilvl w:val="0"/>
          <w:numId w:val="2"/>
        </w:numPr>
        <w:spacing w:after="60"/>
      </w:pPr>
      <w:r>
        <w:t xml:space="preserve">Action : tenter de créer ou d’enregistrer une observation de prix sans connexion.</w:t>
      </w:r>
    </w:p>
    <w:p>
      <w:pPr>
        <w:pStyle w:val="ListParagraph"/>
        <w:numPr>
          <w:ilvl w:val="0"/>
          <w:numId w:val="2"/>
        </w:numPr>
        <w:spacing w:after="60"/>
      </w:pPr>
      <w:r>
        <w:t xml:space="preserve">Résultat attendu : aucune observation n’est enregistrée localement pour une synchronisation différée. L’utilisateur est informé que cette opération nécessite une connexion.</w:t>
      </w:r>
    </w:p>
    <w:p>
      <w:pPr>
        <w:pStyle w:val="Heading3"/>
      </w:pPr>
      <w:r>
        <w:t xml:space="preserve">TEST-FE-030 — Retour de la connexion</w:t>
      </w:r>
    </w:p>
    <w:p>
      <w:pPr>
        <w:pStyle w:val="ListParagraph"/>
        <w:numPr>
          <w:ilvl w:val="0"/>
          <w:numId w:val="2"/>
        </w:numPr>
        <w:spacing w:after="60"/>
      </w:pPr>
      <w:r>
        <w:t xml:space="preserve">Action : rétablir le réseau après une période hors ligne.</w:t>
      </w:r>
    </w:p>
    <w:p>
      <w:pPr>
        <w:pStyle w:val="ListParagraph"/>
        <w:numPr>
          <w:ilvl w:val="0"/>
          <w:numId w:val="2"/>
        </w:numPr>
        <w:spacing w:after="60"/>
      </w:pPr>
      <w:r>
        <w:t xml:space="preserve">Résultat attendu : l’application peut rafraîchir les données selon les règles définies, sans supposer que toutes les données locales sont automatiquement à jour.</w:t>
      </w:r>
    </w:p>
    <w:p>
      <w:pPr>
        <w:pStyle w:val="Heading2"/>
      </w:pPr>
      <w:r>
        <w:t xml:space="preserve">6.7 Session et sécurité locale</w:t>
      </w:r>
    </w:p>
    <w:p>
      <w:pPr>
        <w:pStyle w:val="Heading3"/>
      </w:pPr>
      <w:r>
        <w:t xml:space="preserve">TEST-FE-031 — Déconnexion</w:t>
      </w:r>
    </w:p>
    <w:p>
      <w:pPr>
        <w:pStyle w:val="ListParagraph"/>
        <w:numPr>
          <w:ilvl w:val="0"/>
          <w:numId w:val="2"/>
        </w:numPr>
        <w:spacing w:after="60"/>
      </w:pPr>
      <w:r>
        <w:t xml:space="preserve">Action : se déconnecter.</w:t>
      </w:r>
    </w:p>
    <w:p>
      <w:pPr>
        <w:pStyle w:val="ListParagraph"/>
        <w:numPr>
          <w:ilvl w:val="0"/>
          <w:numId w:val="2"/>
        </w:numPr>
        <w:spacing w:after="60"/>
      </w:pPr>
      <w:r>
        <w:t xml:space="preserve">Résultat attendu : les informations de session sont invalidées conformément au mécanisme retenu et les données locales sensibles sont traitées selon la politique de conservation.</w:t>
      </w:r>
    </w:p>
    <w:p>
      <w:pPr>
        <w:pStyle w:val="Heading3"/>
      </w:pPr>
      <w:r>
        <w:t xml:space="preserve">TEST-FE-032 — Changement de compte</w:t>
      </w:r>
    </w:p>
    <w:p>
      <w:pPr>
        <w:pStyle w:val="ListParagraph"/>
        <w:numPr>
          <w:ilvl w:val="0"/>
          <w:numId w:val="2"/>
        </w:numPr>
        <w:spacing w:after="60"/>
      </w:pPr>
      <w:r>
        <w:t xml:space="preserve">Action : se déconnecter d’un compte puis se connecter avec un autre.</w:t>
      </w:r>
    </w:p>
    <w:p>
      <w:pPr>
        <w:pStyle w:val="ListParagraph"/>
        <w:numPr>
          <w:ilvl w:val="0"/>
          <w:numId w:val="2"/>
        </w:numPr>
        <w:spacing w:after="60"/>
      </w:pPr>
      <w:r>
        <w:t xml:space="preserve">Résultat attendu : aucune donnée privée du premier compte n’est exposée au second.</w:t>
      </w:r>
    </w:p>
    <w:p>
      <w:pPr>
        <w:pStyle w:val="Heading3"/>
      </w:pPr>
      <w:r>
        <w:t xml:space="preserve">TEST-FE-033 — Absence de secrets dans les journaux</w:t>
      </w:r>
    </w:p>
    <w:p>
      <w:pPr>
        <w:pStyle w:val="ListParagraph"/>
        <w:numPr>
          <w:ilvl w:val="0"/>
          <w:numId w:val="2"/>
        </w:numPr>
        <w:spacing w:after="60"/>
      </w:pPr>
      <w:r>
        <w:t xml:space="preserve">Action : provoquer des erreurs d’authentification et des erreurs API.</w:t>
      </w:r>
    </w:p>
    <w:p>
      <w:pPr>
        <w:pStyle w:val="ListParagraph"/>
        <w:numPr>
          <w:ilvl w:val="0"/>
          <w:numId w:val="2"/>
        </w:numPr>
        <w:spacing w:after="60"/>
      </w:pPr>
      <w:r>
        <w:t xml:space="preserve">Résultat attendu : les mots de passe, jetons, secrets et données personnelles non nécessaires ne sont pas consignés dans les journaux.</w:t>
      </w:r>
    </w:p>
    <w:p>
      <w:pPr>
        <w:pStyle w:val="Heading3"/>
      </w:pPr>
      <w:r>
        <w:t xml:space="preserve">TEST-FE-034 — Stockage des jetons</w:t>
      </w:r>
    </w:p>
    <w:p>
      <w:pPr>
        <w:pStyle w:val="ListParagraph"/>
        <w:numPr>
          <w:ilvl w:val="0"/>
          <w:numId w:val="2"/>
        </w:numPr>
        <w:spacing w:after="60"/>
      </w:pPr>
      <w:r>
        <w:t xml:space="preserve">Action : vérifier le mécanisme de stockage des jetons retenu.</w:t>
      </w:r>
    </w:p>
    <w:p>
      <w:pPr>
        <w:pStyle w:val="ListParagraph"/>
        <w:numPr>
          <w:ilvl w:val="0"/>
          <w:numId w:val="2"/>
        </w:numPr>
        <w:spacing w:after="60"/>
      </w:pPr>
      <w:r>
        <w:t xml:space="preserve">Résultat attendu : les jetons ne sont pas stockés dans un espace non sécurisé lorsque des mécanismes de stockage sécurisé adaptés sont requis.</w:t>
      </w:r>
    </w:p>
    <w:p>
      <w:pPr>
        <w:pStyle w:val="Heading2"/>
      </w:pPr>
      <w:r>
        <w:t xml:space="preserve">6.8 Formulaires et contributions</w:t>
      </w:r>
    </w:p>
    <w:p>
      <w:pPr>
        <w:pStyle w:val="Heading3"/>
      </w:pPr>
      <w:r>
        <w:t xml:space="preserve">TEST-FE-035 — Validation des champs obligatoires</w:t>
      </w:r>
    </w:p>
    <w:p>
      <w:pPr>
        <w:pStyle w:val="ListParagraph"/>
        <w:numPr>
          <w:ilvl w:val="0"/>
          <w:numId w:val="2"/>
        </w:numPr>
        <w:spacing w:after="60"/>
      </w:pPr>
      <w:r>
        <w:t xml:space="preserve">Action : soumettre un formulaire incomplet.</w:t>
      </w:r>
    </w:p>
    <w:p>
      <w:pPr>
        <w:pStyle w:val="ListParagraph"/>
        <w:numPr>
          <w:ilvl w:val="0"/>
          <w:numId w:val="2"/>
        </w:numPr>
        <w:spacing w:after="60"/>
      </w:pPr>
      <w:r>
        <w:t xml:space="preserve">Résultat attendu : les erreurs sont signalées clairement et aucune requête de création invalide n’est envoyée.</w:t>
      </w:r>
    </w:p>
    <w:p>
      <w:pPr>
        <w:pStyle w:val="Heading3"/>
      </w:pPr>
      <w:r>
        <w:t xml:space="preserve">TEST-FE-036 — Soumission en ligne</w:t>
      </w:r>
    </w:p>
    <w:p>
      <w:pPr>
        <w:pStyle w:val="ListParagraph"/>
        <w:numPr>
          <w:ilvl w:val="0"/>
          <w:numId w:val="2"/>
        </w:numPr>
        <w:spacing w:after="60"/>
      </w:pPr>
      <w:r>
        <w:t xml:space="preserve">Précondition : connexion disponible et formulaire valide.</w:t>
      </w:r>
    </w:p>
    <w:p>
      <w:pPr>
        <w:pStyle w:val="ListParagraph"/>
        <w:numPr>
          <w:ilvl w:val="0"/>
          <w:numId w:val="2"/>
        </w:numPr>
        <w:spacing w:after="60"/>
      </w:pPr>
      <w:r>
        <w:t xml:space="preserve">Action : soumettre une observation de prix.</w:t>
      </w:r>
    </w:p>
    <w:p>
      <w:pPr>
        <w:pStyle w:val="ListParagraph"/>
        <w:numPr>
          <w:ilvl w:val="0"/>
          <w:numId w:val="2"/>
        </w:numPr>
        <w:spacing w:after="60"/>
      </w:pPr>
      <w:r>
        <w:t xml:space="preserve">Résultat attendu : l’application affiche un état de progression, traite la réponse du serveur et confirme la création uniquement après confirmation effective.</w:t>
      </w:r>
    </w:p>
    <w:p>
      <w:pPr>
        <w:pStyle w:val="Heading3"/>
      </w:pPr>
      <w:r>
        <w:t xml:space="preserve">TEST-FE-037 — Échec de soumission</w:t>
      </w:r>
    </w:p>
    <w:p>
      <w:pPr>
        <w:pStyle w:val="ListParagraph"/>
        <w:numPr>
          <w:ilvl w:val="0"/>
          <w:numId w:val="2"/>
        </w:numPr>
        <w:spacing w:after="60"/>
      </w:pPr>
      <w:r>
        <w:t xml:space="preserve">Action : soumettre un formulaire puis provoquer une erreur réseau.</w:t>
      </w:r>
    </w:p>
    <w:p>
      <w:pPr>
        <w:pStyle w:val="ListParagraph"/>
        <w:numPr>
          <w:ilvl w:val="0"/>
          <w:numId w:val="2"/>
        </w:numPr>
        <w:spacing w:after="60"/>
      </w:pPr>
      <w:r>
        <w:t xml:space="preserve">Résultat attendu : l’application indique que l’opération n’a pas pu être confirmée et ne prétend pas que l’observation a été enregistrée.</w:t>
      </w:r>
    </w:p>
    <w:p>
      <w:pPr>
        <w:pStyle w:val="Heading3"/>
      </w:pPr>
      <w:r>
        <w:t xml:space="preserve">TEST-FE-038 — Soumission répétée</w:t>
      </w:r>
    </w:p>
    <w:p>
      <w:pPr>
        <w:pStyle w:val="ListParagraph"/>
        <w:numPr>
          <w:ilvl w:val="0"/>
          <w:numId w:val="2"/>
        </w:numPr>
        <w:spacing w:after="60"/>
      </w:pPr>
      <w:r>
        <w:t xml:space="preserve">Action : répéter une soumission après un délai ou une erreur.</w:t>
      </w:r>
    </w:p>
    <w:p>
      <w:pPr>
        <w:pStyle w:val="ListParagraph"/>
        <w:numPr>
          <w:ilvl w:val="0"/>
          <w:numId w:val="2"/>
        </w:numPr>
        <w:spacing w:after="60"/>
      </w:pPr>
      <w:r>
        <w:t xml:space="preserve">Résultat attendu : l’interface limite les doubles soumissions. La prévention des doublons côté serveur doit être vérifiée séparément si le contrat prévoit un mécanisme d’idempotence.</w:t>
      </w:r>
    </w:p>
    <w:p>
      <w:pPr>
        <w:pStyle w:val="Heading1"/>
      </w:pPr>
      <w:r>
        <w:t xml:space="preserve">7. Critères d’acceptation des parcours critiques</w:t>
      </w:r>
    </w:p>
    <w:p>
      <w:pPr>
        <w:pStyle w:val="Heading2"/>
      </w:pPr>
      <w:r>
        <w:t xml:space="preserve">CA-FE-001 — Recherche d’un produit</w:t>
      </w:r>
    </w:p>
    <w:p>
      <w:pPr>
        <w:spacing w:after="120" w:before="60"/>
      </w:pPr>
      <w:r>
        <w:t xml:space="preserve">Étant donné un utilisateur disposant d’une connexion et d’un catalogue accessible,</w:t>
      </w:r>
    </w:p>
    <w:p>
      <w:pPr>
        <w:spacing w:after="120" w:before="60"/>
      </w:pPr>
      <w:r>
        <w:t xml:space="preserve">lorsqu’il saisit une recherche valide,</w:t>
      </w:r>
    </w:p>
    <w:p>
      <w:pPr>
        <w:spacing w:after="120" w:before="60"/>
      </w:pPr>
      <w:r>
        <w:t xml:space="preserve">alors les résultats pertinents sont affichés, les états de chargement sont maîtrisés et les erreurs éventuelles sont compréhensibles.</w:t>
      </w:r>
    </w:p>
    <w:p>
      <w:pPr>
        <w:pStyle w:val="Heading2"/>
      </w:pPr>
      <w:r>
        <w:t xml:space="preserve">CA-FE-002 — Consultation des prix</w:t>
      </w:r>
    </w:p>
    <w:p>
      <w:pPr>
        <w:spacing w:after="120" w:before="60"/>
      </w:pPr>
      <w:r>
        <w:t xml:space="preserve">Étant donné un produit avec plusieurs observations,</w:t>
      </w:r>
    </w:p>
    <w:p>
      <w:pPr>
        <w:spacing w:after="120" w:before="60"/>
      </w:pPr>
      <w:r>
        <w:t xml:space="preserve">lorsque l’utilisateur ouvre sa fiche,</w:t>
      </w:r>
    </w:p>
    <w:p>
      <w:pPr>
        <w:spacing w:after="120" w:before="60"/>
      </w:pPr>
      <w:r>
        <w:t xml:space="preserve">alors chaque observation exploitable présente les informations prévues, notamment le montant, la devise, la source et la date, selon la disponibilité des données.</w:t>
      </w:r>
    </w:p>
    <w:p>
      <w:pPr>
        <w:pStyle w:val="Heading2"/>
      </w:pPr>
      <w:r>
        <w:t xml:space="preserve">CA-FE-003 — Fiabilité de la comparaison</w:t>
      </w:r>
    </w:p>
    <w:p>
      <w:pPr>
        <w:spacing w:after="120" w:before="60"/>
      </w:pPr>
      <w:r>
        <w:t xml:space="preserve">Étant donné plusieurs offres,</w:t>
      </w:r>
    </w:p>
    <w:p>
      <w:pPr>
        <w:spacing w:after="120" w:before="60"/>
      </w:pPr>
      <w:r>
        <w:t xml:space="preserve">lorsque l’utilisateur consulte leur comparaison,</w:t>
      </w:r>
    </w:p>
    <w:p>
      <w:pPr>
        <w:spacing w:after="120" w:before="60"/>
      </w:pPr>
      <w:r>
        <w:t xml:space="preserve">alors les offres non équivalentes ne sont pas présentées comme strictement comparables et les prix absents ne sont pas interprétés comme nuls.</w:t>
      </w:r>
    </w:p>
    <w:p>
      <w:pPr>
        <w:pStyle w:val="Heading2"/>
      </w:pPr>
      <w:r>
        <w:t xml:space="preserve">CA-FE-004 — Transparence de la fraîcheur</w:t>
      </w:r>
    </w:p>
    <w:p>
      <w:pPr>
        <w:spacing w:after="120" w:before="60"/>
      </w:pPr>
      <w:r>
        <w:t xml:space="preserve">Étant donné des observations dont les dates diffèrent,</w:t>
      </w:r>
    </w:p>
    <w:p>
      <w:pPr>
        <w:spacing w:after="120" w:before="60"/>
      </w:pPr>
      <w:r>
        <w:t xml:space="preserve">lorsque elles sont affichées,</w:t>
      </w:r>
    </w:p>
    <w:p>
      <w:pPr>
        <w:spacing w:after="120" w:before="60"/>
      </w:pPr>
      <w:r>
        <w:t xml:space="preserve">alors l’utilisateur peut distinguer l’ancienneté de l’observation de la date de synchronisation technique.</w:t>
      </w:r>
    </w:p>
    <w:p>
      <w:pPr>
        <w:pStyle w:val="Heading2"/>
      </w:pPr>
      <w:r>
        <w:t xml:space="preserve">CA-FE-005 — Lecture hors ligne</w:t>
      </w:r>
    </w:p>
    <w:p>
      <w:pPr>
        <w:spacing w:after="120" w:before="60"/>
      </w:pPr>
      <w:r>
        <w:t xml:space="preserve">Étant donné des données autorisées déjà présentes en cache,</w:t>
      </w:r>
    </w:p>
    <w:p>
      <w:pPr>
        <w:spacing w:after="120" w:before="60"/>
      </w:pPr>
      <w:r>
        <w:t xml:space="preserve">lorsque la connexion devient indisponible,</w:t>
      </w:r>
    </w:p>
    <w:p>
      <w:pPr>
        <w:spacing w:after="120" w:before="60"/>
      </w:pPr>
      <w:r>
        <w:t xml:space="preserve">alors l’utilisateur peut consulter ces données et identifier leur état de fraîcheur.</w:t>
      </w:r>
    </w:p>
    <w:p>
      <w:pPr>
        <w:pStyle w:val="Heading2"/>
      </w:pPr>
      <w:r>
        <w:t xml:space="preserve">CA-FE-006 — Limitation des opérations hors ligne</w:t>
      </w:r>
    </w:p>
    <w:p>
      <w:pPr>
        <w:spacing w:after="120" w:before="60"/>
      </w:pPr>
      <w:r>
        <w:t xml:space="preserve">Étant donné que l’application est hors connexion,</w:t>
      </w:r>
    </w:p>
    <w:p>
      <w:pPr>
        <w:spacing w:after="120" w:before="60"/>
      </w:pPr>
      <w:r>
        <w:t xml:space="preserve">lorsque l’utilisateur tente d’enregistrer une nouvelle observation,</w:t>
      </w:r>
    </w:p>
    <w:p>
      <w:pPr>
        <w:spacing w:after="120" w:before="60"/>
      </w:pPr>
      <w:r>
        <w:t xml:space="preserve">alors l’opération est refusée ou désactivée clairement et aucune observation n’est placée dans une file de synchronisation différée.</w:t>
      </w:r>
    </w:p>
    <w:p>
      <w:pPr>
        <w:pStyle w:val="Heading2"/>
      </w:pPr>
      <w:r>
        <w:t xml:space="preserve">CA-FE-007 — Gestion des erreurs</w:t>
      </w:r>
    </w:p>
    <w:p>
      <w:pPr>
        <w:spacing w:after="120" w:before="60"/>
      </w:pPr>
      <w:r>
        <w:t xml:space="preserve">Étant donné une erreur de réseau ou de serveur,</w:t>
      </w:r>
    </w:p>
    <w:p>
      <w:pPr>
        <w:spacing w:after="120" w:before="60"/>
      </w:pPr>
      <w:r>
        <w:t xml:space="preserve">lorsque la requête échoue,</w:t>
      </w:r>
    </w:p>
    <w:p>
      <w:pPr>
        <w:spacing w:after="120" w:before="60"/>
      </w:pPr>
      <w:r>
        <w:t xml:space="preserve">alors l’application reste utilisable, affiche un message adapté et propose une action pertinente lorsque cela est possible.</w:t>
      </w:r>
    </w:p>
    <w:p>
      <w:pPr>
        <w:pStyle w:val="Heading2"/>
      </w:pPr>
      <w:r>
        <w:t xml:space="preserve">CA-FE-008 — Isolation des comptes</w:t>
      </w:r>
    </w:p>
    <w:p>
      <w:pPr>
        <w:spacing w:after="120" w:before="60"/>
      </w:pPr>
      <w:r>
        <w:t xml:space="preserve">Étant donné deux comptes dis[…]</w:t>
      </w:r>
    </w:p>
    <w:p>
      <w:pPr>
        <w:spacing w:after="120" w:before="60"/>
      </w:pPr>
      <w:r>
        <w:rPr>
          <w:b/>
          <w:bCs/>
        </w:rPr>
        <w:t xml:space="preserve">[Document interrompu : le texte fourni s’arrête au milieu du critère CA-FE-008 (section 7). La fin de ce critère et les sections suivantes éventuelles (critères d’acceptation complémentaires, exigences de qualité avant livraison, conditions de validation d’une version, risques, hypothèses et décisions restant à traiter, annoncées en section 1) ne figurent pas dans les documents reçus. À compléter.]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Comparateur de prix au Gabon – Frontend Flutter – v0.1 – 11 octobre 2026  |  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DOC-FE-TEST-001 – Stratégie de tests du frontend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40" w:before="34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10" w:before="26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DOC-FE-TEST-001 – Stratégie de tests du frontend</dc:title>
  <dc:creator>Immo360</dc:creator>
  <cp:lastModifiedBy>Un-named</cp:lastModifiedBy>
  <cp:revision>1</cp:revision>
  <dcterms:created xsi:type="dcterms:W3CDTF">2026-10-12T06:32:31.490Z</dcterms:created>
  <dcterms:modified xsi:type="dcterms:W3CDTF">2026-10-12T06:32:31.491Z</dcterms:modified>
</cp:coreProperties>
</file>

<file path=docProps/custom.xml><?xml version="1.0" encoding="utf-8"?>
<Properties xmlns="http://schemas.openxmlformats.org/officeDocument/2006/custom-properties" xmlns:vt="http://schemas.openxmlformats.org/officeDocument/2006/docPropsVTypes"/>
</file>