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1F3864"/>
          <w:sz w:val="40"/>
          <w:szCs w:val="40"/>
        </w:rPr>
        <w:t xml:space="preserve">DOCUMENT 01 — Spécifications UX/UI et états de l’interface</w:t>
      </w:r>
    </w:p>
    <w:p>
      <w:pPr>
        <w:pBdr>
          <w:top w:val="single" w:color="1F3864" w:sz="6" w:space="4"/>
        </w:pBdr>
        <w:shd w:fill="EAF0FA" w:color="auto" w:val="clear"/>
        <w:spacing w:after="0" w:before="0"/>
        <w:ind w:left="120" w:right="120"/>
      </w:pPr>
      <w:r>
        <w:rPr>
          <w:b/>
          <w:bCs/>
          <w:sz w:val="21"/>
          <w:szCs w:val="21"/>
        </w:rPr>
        <w:t xml:space="preserve">Projet :</w:t>
      </w:r>
      <w:r>
        <w:rPr>
          <w:sz w:val="21"/>
          <w:szCs w:val="21"/>
        </w:rPr>
        <w:t xml:space="preserve"> Comparateur de prix au Gabon</w:t>
      </w:r>
    </w:p>
    <w:p>
      <w:pPr>
        <w:shd w:fill="EAF0FA" w:color="auto" w:val="clear"/>
        <w:spacing w:after="0" w:before="0"/>
        <w:ind w:left="120" w:right="120"/>
      </w:pPr>
      <w:r>
        <w:rPr>
          <w:b/>
          <w:bCs/>
          <w:sz w:val="21"/>
          <w:szCs w:val="21"/>
        </w:rPr>
        <w:t xml:space="preserve">Identifiant :</w:t>
      </w:r>
      <w:r>
        <w:rPr>
          <w:sz w:val="21"/>
          <w:szCs w:val="21"/>
        </w:rPr>
        <w:t xml:space="preserve"> DOC-FE-UX-001</w:t>
      </w:r>
    </w:p>
    <w:p>
      <w:pPr>
        <w:shd w:fill="EAF0FA" w:color="auto" w:val="clear"/>
        <w:spacing w:after="0" w:before="0"/>
        <w:ind w:left="120" w:right="120"/>
      </w:pPr>
      <w:r>
        <w:rPr>
          <w:b/>
          <w:bCs/>
          <w:sz w:val="21"/>
          <w:szCs w:val="21"/>
        </w:rPr>
        <w:t xml:space="preserve">Version :</w:t>
      </w:r>
      <w:r>
        <w:rPr>
          <w:sz w:val="21"/>
          <w:szCs w:val="21"/>
        </w:rPr>
        <w:t xml:space="preserve"> 0.1</w:t>
      </w:r>
    </w:p>
    <w:p>
      <w:pPr>
        <w:shd w:fill="EAF0FA" w:color="auto" w:val="clear"/>
        <w:spacing w:after="0" w:before="0"/>
        <w:ind w:left="120" w:right="120"/>
      </w:pPr>
      <w:r>
        <w:rPr>
          <w:b/>
          <w:bCs/>
          <w:sz w:val="21"/>
          <w:szCs w:val="21"/>
        </w:rPr>
        <w:t xml:space="preserve">Date :</w:t>
      </w:r>
      <w:r>
        <w:rPr>
          <w:sz w:val="21"/>
          <w:szCs w:val="21"/>
        </w:rPr>
        <w:t xml:space="preserve"> 11 octobre 2026</w:t>
      </w:r>
    </w:p>
    <w:p>
      <w:pPr>
        <w:shd w:fill="EAF0FA" w:color="auto" w:val="clear"/>
        <w:spacing w:after="0" w:before="0"/>
        <w:ind w:left="120" w:right="120"/>
      </w:pPr>
      <w:r>
        <w:rPr>
          <w:b/>
          <w:bCs/>
          <w:sz w:val="21"/>
          <w:szCs w:val="21"/>
        </w:rPr>
        <w:t xml:space="preserve">Statut :</w:t>
      </w:r>
      <w:r>
        <w:rPr>
          <w:sz w:val="21"/>
          <w:szCs w:val="21"/>
        </w:rPr>
        <w:t xml:space="preserve"> Document de travail — à valider progressivement</w:t>
      </w:r>
    </w:p>
    <w:p>
      <w:pPr>
        <w:shd w:fill="EAF0FA" w:color="auto" w:val="clear"/>
        <w:spacing w:after="0" w:before="0"/>
        <w:ind w:left="120" w:right="120"/>
      </w:pPr>
      <w:r>
        <w:rPr>
          <w:b/>
          <w:bCs/>
          <w:sz w:val="21"/>
          <w:szCs w:val="21"/>
        </w:rPr>
        <w:t xml:space="preserve">Plateforme cible :</w:t>
      </w:r>
      <w:r>
        <w:rPr>
          <w:sz w:val="21"/>
          <w:szCs w:val="21"/>
        </w:rPr>
        <w:t xml:space="preserve"> Application mobile Flutter</w:t>
      </w:r>
    </w:p>
    <w:p>
      <w:pPr>
        <w:shd w:fill="EAF0FA" w:color="auto" w:val="clear"/>
        <w:spacing w:after="0" w:before="0"/>
        <w:ind w:left="120" w:right="120"/>
      </w:pPr>
      <w:r>
        <w:rPr>
          <w:b/>
          <w:bCs/>
          <w:sz w:val="21"/>
          <w:szCs w:val="21"/>
        </w:rPr>
        <w:t xml:space="preserve">Backend :</w:t>
      </w:r>
      <w:r>
        <w:rPr>
          <w:sz w:val="21"/>
          <w:szCs w:val="21"/>
        </w:rPr>
        <w:t xml:space="preserve"> Django REST Framework</w:t>
      </w:r>
    </w:p>
    <w:p>
      <w:pPr>
        <w:shd w:fill="EAF0FA" w:color="auto" w:val="clear"/>
        <w:spacing w:after="0" w:before="0"/>
        <w:ind w:left="120" w:right="120"/>
      </w:pPr>
      <w:r>
        <w:rPr>
          <w:b/>
          <w:bCs/>
          <w:sz w:val="21"/>
          <w:szCs w:val="21"/>
        </w:rPr>
        <w:t xml:space="preserve">Base de données :</w:t>
      </w:r>
      <w:r>
        <w:rPr>
          <w:sz w:val="21"/>
          <w:szCs w:val="21"/>
        </w:rPr>
        <w:t xml:space="preserve"> PostgreSQL</w:t>
      </w:r>
    </w:p>
    <w:p>
      <w:pPr>
        <w:spacing w:after="160"/>
      </w:pPr>
    </w:p>
    <w:p>
      <w:pPr>
        <w:pStyle w:val="Heading1"/>
      </w:pPr>
      <w:r>
        <w:t xml:space="preserve">1. Objet du document</w:t>
      </w:r>
    </w:p>
    <w:p>
      <w:pPr>
        <w:spacing w:after="120" w:before="60"/>
      </w:pPr>
      <w:r>
        <w:t xml:space="preserve">Ce document définit les exigences d’expérience utilisateur (UX), d’interface utilisateur (UI) et de gestion des états visuels du frontend du Comparateur de prix au Gabon.</w:t>
      </w:r>
    </w:p>
    <w:p>
      <w:pPr>
        <w:spacing w:after="120" w:before="60"/>
      </w:pPr>
      <w:r>
        <w:t xml:space="preserve">Il constitue une référence pour :</w:t>
      </w:r>
    </w:p>
    <w:p>
      <w:pPr>
        <w:pStyle w:val="ListParagraph"/>
        <w:numPr>
          <w:ilvl w:val="0"/>
          <w:numId w:val="2"/>
        </w:numPr>
        <w:spacing w:after="60"/>
      </w:pPr>
      <w:r>
        <w:t xml:space="preserve">la conception des parcours utilisateurs ;</w:t>
      </w:r>
    </w:p>
    <w:p>
      <w:pPr>
        <w:pStyle w:val="ListParagraph"/>
        <w:numPr>
          <w:ilvl w:val="0"/>
          <w:numId w:val="2"/>
        </w:numPr>
        <w:spacing w:after="60"/>
      </w:pPr>
      <w:r>
        <w:t xml:space="preserve">la définition des écrans et de leur hiérarchie visuelle ;</w:t>
      </w:r>
    </w:p>
    <w:p>
      <w:pPr>
        <w:pStyle w:val="ListParagraph"/>
        <w:numPr>
          <w:ilvl w:val="0"/>
          <w:numId w:val="2"/>
        </w:numPr>
        <w:spacing w:after="60"/>
      </w:pPr>
      <w:r>
        <w:t xml:space="preserve">la conception des composants réutilisables ;</w:t>
      </w:r>
    </w:p>
    <w:p>
      <w:pPr>
        <w:pStyle w:val="ListParagraph"/>
        <w:numPr>
          <w:ilvl w:val="0"/>
          <w:numId w:val="2"/>
        </w:numPr>
        <w:spacing w:after="60"/>
      </w:pPr>
      <w:r>
        <w:t xml:space="preserve">la gestion des états de chargement, de succès, d’absence de données et d’erreur ;</w:t>
      </w:r>
    </w:p>
    <w:p>
      <w:pPr>
        <w:pStyle w:val="ListParagraph"/>
        <w:numPr>
          <w:ilvl w:val="0"/>
          <w:numId w:val="2"/>
        </w:numPr>
        <w:spacing w:after="60"/>
      </w:pPr>
      <w:r>
        <w:t xml:space="preserve">l’affichage transparent des prix, de leur ancienneté et de leur fiabilité ;</w:t>
      </w:r>
    </w:p>
    <w:p>
      <w:pPr>
        <w:pStyle w:val="ListParagraph"/>
        <w:numPr>
          <w:ilvl w:val="0"/>
          <w:numId w:val="2"/>
        </w:numPr>
        <w:spacing w:after="60"/>
      </w:pPr>
      <w:r>
        <w:t xml:space="preserve">la préparation de l’architecture Flutter ;</w:t>
      </w:r>
    </w:p>
    <w:p>
      <w:pPr>
        <w:pStyle w:val="ListParagraph"/>
        <w:numPr>
          <w:ilvl w:val="0"/>
          <w:numId w:val="2"/>
        </w:numPr>
        <w:spacing w:after="60"/>
      </w:pPr>
      <w:r>
        <w:t xml:space="preserve">la définition des critères d’acceptation et des tests d’interface.</w:t>
      </w:r>
    </w:p>
    <w:p>
      <w:pPr>
        <w:spacing w:after="120" w:before="60"/>
      </w:pPr>
      <w:r>
        <w:t xml:space="preserve">Ce document ne définit pas encore l’implémentation détaillée des widgets Flutter, les contrats définitifs de l’API ni le choix final des bibliothèques techniques.</w:t>
      </w:r>
    </w:p>
    <w:p>
      <w:pPr>
        <w:pStyle w:val="Heading1"/>
      </w:pPr>
      <w:r>
        <w:t xml:space="preserve">2. Objectifs UX</w:t>
      </w:r>
    </w:p>
    <w:p>
      <w:pPr>
        <w:pStyle w:val="Heading2"/>
      </w:pPr>
      <w:r>
        <w:t xml:space="preserve">2.1 Objectif principal</w:t>
      </w:r>
    </w:p>
    <w:p>
      <w:pPr>
        <w:spacing w:after="120" w:before="60"/>
      </w:pPr>
      <w:r>
        <w:t xml:space="preserve">Permettre à un consommateur de rechercher un produit, d’identifier les offres pertinentes et de les comparer sur la base d’informations compréhensibles, suffisamment récentes et transparentes.</w:t>
      </w:r>
    </w:p>
    <w:p>
      <w:pPr>
        <w:pStyle w:val="Heading2"/>
      </w:pPr>
      <w:r>
        <w:t xml:space="preserve">2.2 Objectifs spécifiques</w:t>
      </w:r>
    </w:p>
    <w:p>
      <w:pPr>
        <w:pStyle w:val="ListParagraph"/>
        <w:numPr>
          <w:ilvl w:val="0"/>
          <w:numId w:val="2"/>
        </w:numPr>
        <w:spacing w:after="60"/>
      </w:pPr>
      <w:r>
        <w:t xml:space="preserve">Réduire le nombre d’étapes nécessaires pour trouver un produit.</w:t>
      </w:r>
    </w:p>
    <w:p>
      <w:pPr>
        <w:pStyle w:val="ListParagraph"/>
        <w:numPr>
          <w:ilvl w:val="0"/>
          <w:numId w:val="2"/>
        </w:numPr>
        <w:spacing w:after="60"/>
      </w:pPr>
      <w:r>
        <w:t xml:space="preserve">Faciliter l’identification du produit exact recherché.</w:t>
      </w:r>
    </w:p>
    <w:p>
      <w:pPr>
        <w:pStyle w:val="ListParagraph"/>
        <w:numPr>
          <w:ilvl w:val="0"/>
          <w:numId w:val="2"/>
        </w:numPr>
        <w:spacing w:after="60"/>
      </w:pPr>
      <w:r>
        <w:t xml:space="preserve">Éviter les comparaisons trompeuses entre produits différents.</w:t>
      </w:r>
    </w:p>
    <w:p>
      <w:pPr>
        <w:pStyle w:val="ListParagraph"/>
        <w:numPr>
          <w:ilvl w:val="0"/>
          <w:numId w:val="2"/>
        </w:numPr>
        <w:spacing w:after="60"/>
      </w:pPr>
      <w:r>
        <w:t xml:space="preserve">Rendre visibles les prix, les vendeurs et les conditions de disponibilité.</w:t>
      </w:r>
    </w:p>
    <w:p>
      <w:pPr>
        <w:pStyle w:val="ListParagraph"/>
        <w:numPr>
          <w:ilvl w:val="0"/>
          <w:numId w:val="2"/>
        </w:numPr>
        <w:spacing w:after="60"/>
      </w:pPr>
      <w:r>
        <w:t xml:space="preserve">Informer l’utilisateur de la date d’observation et de l’ancienneté des informations.</w:t>
      </w:r>
    </w:p>
    <w:p>
      <w:pPr>
        <w:pStyle w:val="ListParagraph"/>
        <w:numPr>
          <w:ilvl w:val="0"/>
          <w:numId w:val="2"/>
        </w:numPr>
        <w:spacing w:after="60"/>
      </w:pPr>
      <w:r>
        <w:t xml:space="preserve">Préserver une expérience compréhensible en cas de connexion lente ou absente.</w:t>
      </w:r>
    </w:p>
    <w:p>
      <w:pPr>
        <w:pStyle w:val="ListParagraph"/>
        <w:numPr>
          <w:ilvl w:val="0"/>
          <w:numId w:val="2"/>
        </w:numPr>
        <w:spacing w:after="60"/>
      </w:pPr>
      <w:r>
        <w:t xml:space="preserve">Permettre la récupération après une erreur sans perdre inutilement la progression de l’utilisateur.</w:t>
      </w:r>
    </w:p>
    <w:p>
      <w:pPr>
        <w:pStyle w:val="ListParagraph"/>
        <w:numPr>
          <w:ilvl w:val="0"/>
          <w:numId w:val="2"/>
        </w:numPr>
        <w:spacing w:after="60"/>
      </w:pPr>
      <w:r>
        <w:t xml:space="preserve">Maintenir une présentation cohérente sur les différents écrans.</w:t>
      </w:r>
    </w:p>
    <w:p>
      <w:pPr>
        <w:pStyle w:val="Heading1"/>
      </w:pPr>
      <w:r>
        <w:t xml:space="preserve">3. Principes UX fondamentaux</w:t>
      </w:r>
    </w:p>
    <w:p>
      <w:pPr>
        <w:pStyle w:val="Heading2"/>
      </w:pPr>
      <w:r>
        <w:t xml:space="preserve">UX-PR-001 — Clarté avant décoration</w:t>
      </w:r>
    </w:p>
    <w:p>
      <w:pPr>
        <w:spacing w:after="120" w:before="60"/>
      </w:pPr>
      <w:r>
        <w:t xml:space="preserve">Les informations nécessaires à la décision doivent être plus visibles que les éléments purement décoratifs.</w:t>
      </w:r>
    </w:p>
    <w:p>
      <w:pPr>
        <w:pStyle w:val="Heading2"/>
      </w:pPr>
      <w:r>
        <w:t xml:space="preserve">UX-PR-002 — Comparaison honnête</w:t>
      </w:r>
    </w:p>
    <w:p>
      <w:pPr>
        <w:spacing w:after="120" w:before="60"/>
      </w:pPr>
      <w:r>
        <w:t xml:space="preserve">Un prix ne doit pas être présenté isolément si la quantité, le format ou la variante du produit peuvent modifier le sens de la comparaison.</w:t>
      </w:r>
    </w:p>
    <w:p>
      <w:pPr>
        <w:pStyle w:val="Heading2"/>
      </w:pPr>
      <w:r>
        <w:t xml:space="preserve">UX-PR-003 — Transparence sur les données</w:t>
      </w:r>
    </w:p>
    <w:p>
      <w:pPr>
        <w:spacing w:after="120" w:before="60"/>
      </w:pPr>
      <w:r>
        <w:t xml:space="preserve">L’interface doit distinguer le prix affiché, la date de son observation, la date de synchronisation des données et le statut de disponibilité, lorsque ces informations sont disponibles.</w:t>
      </w:r>
    </w:p>
    <w:p>
      <w:pPr>
        <w:pStyle w:val="Heading2"/>
      </w:pPr>
      <w:r>
        <w:t xml:space="preserve">UX-PR-004 — Pas de certitude artificielle</w:t>
      </w:r>
    </w:p>
    <w:p>
      <w:pPr>
        <w:spacing w:after="120" w:before="60"/>
      </w:pPr>
      <w:r>
        <w:t xml:space="preserve">L’application ne doit jamais présenter une information ancienne ou non vérifiée comme une garantie de prix actuel.</w:t>
      </w:r>
    </w:p>
    <w:p>
      <w:pPr>
        <w:pStyle w:val="Heading2"/>
      </w:pPr>
      <w:r>
        <w:t xml:space="preserve">UX-PR-005 — Résilience</w:t>
      </w:r>
    </w:p>
    <w:p>
      <w:pPr>
        <w:spacing w:after="120" w:before="60"/>
      </w:pPr>
      <w:r>
        <w:t xml:space="preserve">Une erreur réseau ne doit pas provoquer un écran vide sans explication. Lorsque des données locales exploitables existent, leur consultation peut rester possible.</w:t>
      </w:r>
    </w:p>
    <w:p>
      <w:pPr>
        <w:pStyle w:val="Heading2"/>
      </w:pPr>
      <w:r>
        <w:t xml:space="preserve">UX-PR-006 — Cohérence</w:t>
      </w:r>
    </w:p>
    <w:p>
      <w:pPr>
        <w:spacing w:after="120" w:before="60"/>
      </w:pPr>
      <w:r>
        <w:t xml:space="preserve">Les composants, les libellés, les icônes, les couleurs et les interactions doivent suivre des règles communes.</w:t>
      </w:r>
    </w:p>
    <w:p>
      <w:pPr>
        <w:pStyle w:val="Heading2"/>
      </w:pPr>
      <w:r>
        <w:t xml:space="preserve">UX-PR-007 — Accessibilité</w:t>
      </w:r>
    </w:p>
    <w:p>
      <w:pPr>
        <w:spacing w:after="120" w:before="60"/>
      </w:pPr>
      <w:r>
        <w:t xml:space="preserve">Les informations ne doivent pas dépendre uniquement de la couleur. Les textes, les contrastes, les tailles de cibles tactiles et les libellés accessibles doivent être pris en compte dès la conception.</w:t>
      </w:r>
    </w:p>
    <w:p>
      <w:pPr>
        <w:pStyle w:val="Heading2"/>
      </w:pPr>
      <w:r>
        <w:t xml:space="preserve">UX-PR-008 — Neutralité commerciale</w:t>
      </w:r>
    </w:p>
    <w:p>
      <w:pPr>
        <w:spacing w:after="120" w:before="60"/>
      </w:pPr>
      <w:r>
        <w:t xml:space="preserve">Le classement standard doit refléter les critères objectifs annoncés. Les contenus sponsorisés éventuels doivent être explicitement identifiés et visuellement distingués.</w:t>
      </w:r>
    </w:p>
    <w:p>
      <w:pPr>
        <w:pStyle w:val="Heading1"/>
      </w:pPr>
      <w:r>
        <w:t xml:space="preserve">4. Périmètre fonctionnel UX/UI</w:t>
      </w:r>
    </w:p>
    <w:p>
      <w:pPr>
        <w:spacing w:after="120" w:before="60"/>
      </w:pPr>
      <w:r>
        <w:t xml:space="preserve">Le périmètre exact des fonctionnalités doit être confirmé dans les spécifications fonctionnelles. Les écrans suivants constituent une première cartographie.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8"/>
        <w:gridCol w:w="2872"/>
        <w:gridCol w:w="5098"/>
      </w:tblGrid>
      <w:tr>
        <w:trPr>
          <w:cantSplit/>
          <w:tblHeader/>
        </w:trPr>
        <w:tc>
          <w:tcPr>
            <w:tcW w:type="dxa" w:w="166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ID</w:t>
            </w:r>
          </w:p>
        </w:tc>
        <w:tc>
          <w:tcPr>
            <w:tcW w:type="dxa" w:w="2872"/>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Écran ou domaine</w:t>
            </w:r>
          </w:p>
        </w:tc>
        <w:tc>
          <w:tcPr>
            <w:tcW w:type="dxa" w:w="509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Objectif</w:t>
            </w:r>
          </w:p>
        </w:tc>
      </w:tr>
      <w:tr>
        <w:trPr>
          <w:cantSplit/>
          <w:tblHeader w:val="false"/>
        </w:trPr>
        <w:tc>
          <w:tcPr>
            <w:tcW w:type="dxa" w:w="16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UX-SCR-001</w:t>
            </w:r>
          </w:p>
        </w:tc>
        <w:tc>
          <w:tcPr>
            <w:tcW w:type="dxa" w:w="28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Accueil</w:t>
            </w:r>
          </w:p>
        </w:tc>
        <w:tc>
          <w:tcPr>
            <w:tcW w:type="dxa" w:w="5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Accéder rapidement à la recherche et aux catégories</w:t>
            </w:r>
          </w:p>
        </w:tc>
      </w:tr>
      <w:tr>
        <w:trPr>
          <w:cantSplit/>
          <w:tblHeader w:val="false"/>
        </w:trPr>
        <w:tc>
          <w:tcPr>
            <w:tcW w:type="dxa" w:w="16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UX-SCR-002</w:t>
            </w:r>
          </w:p>
        </w:tc>
        <w:tc>
          <w:tcPr>
            <w:tcW w:type="dxa" w:w="28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Recherche</w:t>
            </w:r>
          </w:p>
        </w:tc>
        <w:tc>
          <w:tcPr>
            <w:tcW w:type="dxa" w:w="509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Saisir une requête et consulter les résultats</w:t>
            </w:r>
          </w:p>
        </w:tc>
      </w:tr>
      <w:tr>
        <w:trPr>
          <w:cantSplit/>
          <w:tblHeader w:val="false"/>
        </w:trPr>
        <w:tc>
          <w:tcPr>
            <w:tcW w:type="dxa" w:w="16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UX-SCR-003</w:t>
            </w:r>
          </w:p>
        </w:tc>
        <w:tc>
          <w:tcPr>
            <w:tcW w:type="dxa" w:w="28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Filtres et tri</w:t>
            </w:r>
          </w:p>
        </w:tc>
        <w:tc>
          <w:tcPr>
            <w:tcW w:type="dxa" w:w="5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Réduire les résultats selon des critères pertinents</w:t>
            </w:r>
          </w:p>
        </w:tc>
      </w:tr>
      <w:tr>
        <w:trPr>
          <w:cantSplit/>
          <w:tblHeader w:val="false"/>
        </w:trPr>
        <w:tc>
          <w:tcPr>
            <w:tcW w:type="dxa" w:w="16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UX-SCR-004</w:t>
            </w:r>
          </w:p>
        </w:tc>
        <w:tc>
          <w:tcPr>
            <w:tcW w:type="dxa" w:w="28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Fiche produit</w:t>
            </w:r>
          </w:p>
        </w:tc>
        <w:tc>
          <w:tcPr>
            <w:tcW w:type="dxa" w:w="509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Comprendre précisément le produit recherché</w:t>
            </w:r>
          </w:p>
        </w:tc>
      </w:tr>
      <w:tr>
        <w:trPr>
          <w:cantSplit/>
          <w:tblHeader w:val="false"/>
        </w:trPr>
        <w:tc>
          <w:tcPr>
            <w:tcW w:type="dxa" w:w="16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UX-SCR-005</w:t>
            </w:r>
          </w:p>
        </w:tc>
        <w:tc>
          <w:tcPr>
            <w:tcW w:type="dxa" w:w="28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Comparaison des offres</w:t>
            </w:r>
          </w:p>
        </w:tc>
        <w:tc>
          <w:tcPr>
            <w:tcW w:type="dxa" w:w="5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Comparer les prix et les vendeurs</w:t>
            </w:r>
          </w:p>
        </w:tc>
      </w:tr>
      <w:tr>
        <w:trPr>
          <w:cantSplit/>
          <w:tblHeader w:val="false"/>
        </w:trPr>
        <w:tc>
          <w:tcPr>
            <w:tcW w:type="dxa" w:w="16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UX-SCR-006</w:t>
            </w:r>
          </w:p>
        </w:tc>
        <w:tc>
          <w:tcPr>
            <w:tcW w:type="dxa" w:w="28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Fiche vendeur ou point de vente</w:t>
            </w:r>
          </w:p>
        </w:tc>
        <w:tc>
          <w:tcPr>
            <w:tcW w:type="dxa" w:w="509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Consulter les informations utiles sur le vendeur</w:t>
            </w:r>
          </w:p>
        </w:tc>
      </w:tr>
      <w:tr>
        <w:trPr>
          <w:cantSplit/>
          <w:tblHeader w:val="false"/>
        </w:trPr>
        <w:tc>
          <w:tcPr>
            <w:tcW w:type="dxa" w:w="16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UX-SCR-007</w:t>
            </w:r>
          </w:p>
        </w:tc>
        <w:tc>
          <w:tcPr>
            <w:tcW w:type="dxa" w:w="28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Favoris</w:t>
            </w:r>
          </w:p>
        </w:tc>
        <w:tc>
          <w:tcPr>
            <w:tcW w:type="dxa" w:w="5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Retrouver les produits enregistrés, si cette fonction est retenue dans le MVP</w:t>
            </w:r>
          </w:p>
        </w:tc>
      </w:tr>
      <w:tr>
        <w:trPr>
          <w:cantSplit/>
          <w:tblHeader w:val="false"/>
        </w:trPr>
        <w:tc>
          <w:tcPr>
            <w:tcW w:type="dxa" w:w="16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UX-SCR-008</w:t>
            </w:r>
          </w:p>
        </w:tc>
        <w:tc>
          <w:tcPr>
            <w:tcW w:type="dxa" w:w="28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Authentification</w:t>
            </w:r>
          </w:p>
        </w:tc>
        <w:tc>
          <w:tcPr>
            <w:tcW w:type="dxa" w:w="509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Se connecter ou créer un compte, si nécessaire au parcours</w:t>
            </w:r>
          </w:p>
        </w:tc>
      </w:tr>
      <w:tr>
        <w:trPr>
          <w:cantSplit/>
          <w:tblHeader w:val="false"/>
        </w:trPr>
        <w:tc>
          <w:tcPr>
            <w:tcW w:type="dxa" w:w="16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UX-SCR-009</w:t>
            </w:r>
          </w:p>
        </w:tc>
        <w:tc>
          <w:tcPr>
            <w:tcW w:type="dxa" w:w="28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Contribution de prix</w:t>
            </w:r>
          </w:p>
        </w:tc>
        <w:tc>
          <w:tcPr>
            <w:tcW w:type="dxa" w:w="5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Déclarer un prix lorsque la fonction est disponible et autorisée</w:t>
            </w:r>
          </w:p>
        </w:tc>
      </w:tr>
      <w:tr>
        <w:trPr>
          <w:cantSplit/>
          <w:tblHeader w:val="false"/>
        </w:trPr>
        <w:tc>
          <w:tcPr>
            <w:tcW w:type="dxa" w:w="16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UX-SCR-010</w:t>
            </w:r>
          </w:p>
        </w:tc>
        <w:tc>
          <w:tcPr>
            <w:tcW w:type="dxa" w:w="28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Signalement</w:t>
            </w:r>
          </w:p>
        </w:tc>
        <w:tc>
          <w:tcPr>
            <w:tcW w:type="dxa" w:w="509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Signaler une information incorrecte, si la fonction est retenue</w:t>
            </w:r>
          </w:p>
        </w:tc>
      </w:tr>
      <w:tr>
        <w:trPr>
          <w:cantSplit/>
          <w:tblHeader w:val="false"/>
        </w:trPr>
        <w:tc>
          <w:tcPr>
            <w:tcW w:type="dxa" w:w="16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UX-SCR-011</w:t>
            </w:r>
          </w:p>
        </w:tc>
        <w:tc>
          <w:tcPr>
            <w:tcW w:type="dxa" w:w="2872"/>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État hors ligne</w:t>
            </w:r>
          </w:p>
        </w:tc>
        <w:tc>
          <w:tcPr>
            <w:tcW w:type="dxa" w:w="509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Informer l’utilisateur des limites de connexion et des données disponibles</w:t>
            </w:r>
          </w:p>
        </w:tc>
      </w:tr>
      <w:tr>
        <w:trPr>
          <w:cantSplit/>
          <w:tblHeader w:val="false"/>
        </w:trPr>
        <w:tc>
          <w:tcPr>
            <w:tcW w:type="dxa" w:w="16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UX-SCR-012</w:t>
            </w:r>
          </w:p>
        </w:tc>
        <w:tc>
          <w:tcPr>
            <w:tcW w:type="dxa" w:w="2872"/>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États système</w:t>
            </w:r>
          </w:p>
        </w:tc>
        <w:tc>
          <w:tcPr>
            <w:tcW w:type="dxa" w:w="509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Afficher chargement, absence de données, succès et erreurs</w:t>
            </w:r>
          </w:p>
        </w:tc>
      </w:tr>
    </w:tbl>
    <w:p>
      <w:pPr>
        <w:spacing w:after="120" w:before="0"/>
      </w:pPr>
    </w:p>
    <w:p>
      <w:pPr>
        <w:spacing w:after="120" w:before="60"/>
      </w:pPr>
      <w:r>
        <w:t xml:space="preserve">Cette liste est indicative. Elle ne signifie pas que tous ces écrans doivent être livrés dans le premier MVP.</w:t>
      </w:r>
    </w:p>
    <w:p>
      <w:pPr>
        <w:pStyle w:val="Heading1"/>
      </w:pPr>
      <w:r>
        <w:t xml:space="preserve">5. Hiérarchie visuelle</w:t>
      </w:r>
    </w:p>
    <w:p>
      <w:pPr>
        <w:pStyle w:val="Heading2"/>
      </w:pPr>
      <w:r>
        <w:t xml:space="preserve">5.1 Priorités générales</w:t>
      </w:r>
    </w:p>
    <w:p>
      <w:pPr>
        <w:spacing w:after="120" w:before="60"/>
      </w:pPr>
      <w:r>
        <w:t xml:space="preserve">La hiérarchie visuelle devra privilégier les informations dans l’ordre suivant, selon le contexte de l’écran :</w:t>
      </w:r>
    </w:p>
    <w:p>
      <w:pPr>
        <w:pStyle w:val="ListParagraph"/>
        <w:numPr>
          <w:ilvl w:val="0"/>
          <w:numId w:val="3"/>
        </w:numPr>
        <w:spacing w:after="60"/>
      </w:pPr>
      <w:r>
        <w:t xml:space="preserve">Identification : produit, variante, format et quantité.</w:t>
      </w:r>
    </w:p>
    <w:p>
      <w:pPr>
        <w:pStyle w:val="ListParagraph"/>
        <w:numPr>
          <w:ilvl w:val="0"/>
          <w:numId w:val="3"/>
        </w:numPr>
        <w:spacing w:after="60"/>
      </w:pPr>
      <w:r>
        <w:t xml:space="preserve">Décision : prix et pertinence de l’offre.</w:t>
      </w:r>
    </w:p>
    <w:p>
      <w:pPr>
        <w:pStyle w:val="ListParagraph"/>
        <w:numPr>
          <w:ilvl w:val="0"/>
          <w:numId w:val="3"/>
        </w:numPr>
        <w:spacing w:after="60"/>
      </w:pPr>
      <w:r>
        <w:t xml:space="preserve">Contexte : vendeur, localisation et disponibilité.</w:t>
      </w:r>
    </w:p>
    <w:p>
      <w:pPr>
        <w:pStyle w:val="ListParagraph"/>
        <w:numPr>
          <w:ilvl w:val="0"/>
          <w:numId w:val="3"/>
        </w:numPr>
        <w:spacing w:after="60"/>
      </w:pPr>
      <w:r>
        <w:t xml:space="preserve">Fiabilité : date d’observation, source et statut de vérification.</w:t>
      </w:r>
    </w:p>
    <w:p>
      <w:pPr>
        <w:pStyle w:val="ListParagraph"/>
        <w:numPr>
          <w:ilvl w:val="0"/>
          <w:numId w:val="3"/>
        </w:numPr>
        <w:spacing w:after="60"/>
      </w:pPr>
      <w:r>
        <w:t xml:space="preserve">Action : comparer, filtrer, actualiser, enregistrer ou signaler.</w:t>
      </w:r>
    </w:p>
    <w:p>
      <w:pPr>
        <w:spacing w:after="120" w:before="60"/>
      </w:pPr>
      <w:r>
        <w:t xml:space="preserve">L’ordre exact pourra varier selon l’écran, mais les informations critiques ne doivent pas être masquées dans des menus secondaires.</w:t>
      </w:r>
    </w:p>
    <w:p>
      <w:pPr>
        <w:pStyle w:val="Heading2"/>
      </w:pPr>
      <w:r>
        <w:t xml:space="preserve">5.2 Prix</w:t>
      </w:r>
    </w:p>
    <w:p>
      <w:pPr>
        <w:spacing w:after="120" w:before="60"/>
      </w:pPr>
      <w:r>
        <w:t xml:space="preserve">Le prix doit être facile à repérer et accompagné de sa devise. Le format numérique doit être cohérent dans toute l’application.</w:t>
      </w:r>
    </w:p>
    <w:p>
      <w:pPr>
        <w:spacing w:after="120" w:before="60"/>
      </w:pPr>
      <w:r>
        <w:t xml:space="preserve">Lorsque la quantité ou l’unité est essentielle, elle doit être visible à proximité du prix. Un prix unitaire calculé doit être distingué du prix réellement demandé par le vendeur.</w:t>
      </w:r>
    </w:p>
    <w:p>
      <w:pPr>
        <w:pStyle w:val="Heading2"/>
      </w:pPr>
      <w:r>
        <w:t xml:space="preserve">5.3 Statuts visuels</w:t>
      </w:r>
    </w:p>
    <w:p>
      <w:pPr>
        <w:spacing w:after="120" w:before="60"/>
      </w:pPr>
      <w:r>
        <w:t xml:space="preserve">Les statuts « disponible », « disponibilité inconnue », « prix ancien » et « prix vérifié » doivent utiliser des libellés compréhensibles et, si nécessaire, une icône en complément.</w:t>
      </w:r>
    </w:p>
    <w:p>
      <w:pPr>
        <w:spacing w:after="120" w:before="60"/>
      </w:pPr>
      <w:r>
        <w:t xml:space="preserve">La couleur ne doit jamais être le seul moyen de communiquer un statut.</w:t>
      </w:r>
    </w:p>
    <w:p>
      <w:pPr>
        <w:pStyle w:val="Heading2"/>
      </w:pPr>
      <w:r>
        <w:t xml:space="preserve">5.4 Couleurs, typographie et espacement</w:t>
      </w:r>
    </w:p>
    <w:p>
      <w:pPr>
        <w:spacing w:after="120" w:before="60"/>
      </w:pPr>
      <w:r>
        <w:t xml:space="preserve">La palette, les polices, les échelles typographiques, les rayons, les espacements et les règles d’élévation restent à définir dans un système de design commun.</w:t>
      </w:r>
    </w:p>
    <w:p>
      <w:pPr>
        <w:spacing w:after="120" w:before="60"/>
      </w:pPr>
      <w:r>
        <w:t xml:space="preserve">Aucune palette définitive n’est validée par ce document.</w:t>
      </w:r>
    </w:p>
    <w:p>
      <w:pPr>
        <w:pStyle w:val="Heading1"/>
      </w:pPr>
      <w:r>
        <w:t xml:space="preserve">6. Spécifications de la recherche</w:t>
      </w:r>
    </w:p>
    <w:p>
      <w:pPr>
        <w:pStyle w:val="Heading2"/>
      </w:pPr>
      <w:r>
        <w:t xml:space="preserve">6.1 Objectif</w:t>
      </w:r>
    </w:p>
    <w:p>
      <w:pPr>
        <w:spacing w:after="120" w:before="60"/>
      </w:pPr>
      <w:r>
        <w:t xml:space="preserve">Permettre à l’utilisateur de retrouver le produit voulu sans devoir connaître exactement sa désignation dans le catalogue.</w:t>
      </w:r>
    </w:p>
    <w:p>
      <w:pPr>
        <w:pStyle w:val="Heading2"/>
      </w:pPr>
      <w:r>
        <w:t xml:space="preserve">6.2 Comportements attendus</w:t>
      </w:r>
    </w:p>
    <w:p>
      <w:pPr>
        <w:pStyle w:val="ListParagraph"/>
        <w:numPr>
          <w:ilvl w:val="0"/>
          <w:numId w:val="2"/>
        </w:numPr>
        <w:spacing w:after="60"/>
      </w:pPr>
      <w:r>
        <w:t xml:space="preserve">La zone de recherche doit être facilement identifiable.</w:t>
      </w:r>
    </w:p>
    <w:p>
      <w:pPr>
        <w:pStyle w:val="ListParagraph"/>
        <w:numPr>
          <w:ilvl w:val="0"/>
          <w:numId w:val="2"/>
        </w:numPr>
        <w:spacing w:after="60"/>
      </w:pPr>
      <w:r>
        <w:t xml:space="preserve">La saisie doit être conservée pendant la consultation des résultats.</w:t>
      </w:r>
    </w:p>
    <w:p>
      <w:pPr>
        <w:pStyle w:val="ListParagraph"/>
        <w:numPr>
          <w:ilvl w:val="0"/>
          <w:numId w:val="2"/>
        </w:numPr>
        <w:spacing w:after="60"/>
      </w:pPr>
      <w:r>
        <w:t xml:space="preserve">L’interface doit distinguer les suggestions éventuelles des résultats définitifs.</w:t>
      </w:r>
    </w:p>
    <w:p>
      <w:pPr>
        <w:pStyle w:val="ListParagraph"/>
        <w:numPr>
          <w:ilvl w:val="0"/>
          <w:numId w:val="2"/>
        </w:numPr>
        <w:spacing w:after="60"/>
      </w:pPr>
      <w:r>
        <w:t xml:space="preserve">Les résultats doivent identifier clairement les produits et leurs variantes.</w:t>
      </w:r>
    </w:p>
    <w:p>
      <w:pPr>
        <w:pStyle w:val="ListParagraph"/>
        <w:numPr>
          <w:ilvl w:val="0"/>
          <w:numId w:val="2"/>
        </w:numPr>
        <w:spacing w:after="60"/>
      </w:pPr>
      <w:r>
        <w:t xml:space="preserve">Les filtres et le tri doivent indiquer les critères actifs.</w:t>
      </w:r>
    </w:p>
    <w:p>
      <w:pPr>
        <w:pStyle w:val="ListParagraph"/>
        <w:numPr>
          <w:ilvl w:val="0"/>
          <w:numId w:val="2"/>
        </w:numPr>
        <w:spacing w:after="60"/>
      </w:pPr>
      <w:r>
        <w:t xml:space="preserve">La pagination ou le chargement progressif ne doit pas provoquer de doublons visuels.</w:t>
      </w:r>
    </w:p>
    <w:p>
      <w:pPr>
        <w:pStyle w:val="ListParagraph"/>
        <w:numPr>
          <w:ilvl w:val="0"/>
          <w:numId w:val="2"/>
        </w:numPr>
        <w:spacing w:after="60"/>
      </w:pPr>
      <w:r>
        <w:t xml:space="preserve">En cas de nouvelle recherche, l’interface doit éviter de mélanger les résultats de l’ancienne requête avec ceux de la nouvelle.</w:t>
      </w:r>
    </w:p>
    <w:p>
      <w:pPr>
        <w:pStyle w:val="ListParagraph"/>
        <w:numPr>
          <w:ilvl w:val="0"/>
          <w:numId w:val="2"/>
        </w:numPr>
        <w:spacing w:after="60"/>
      </w:pPr>
      <w:r>
        <w:t xml:space="preserve">Une erreur temporaire doit permettre une nouvelle tentative.</w:t>
      </w:r>
    </w:p>
    <w:p>
      <w:pPr>
        <w:pStyle w:val="Heading2"/>
      </w:pPr>
      <w:r>
        <w:t xml:space="preserve">6.3 États de recherche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3"/>
        <w:gridCol w:w="2385"/>
        <w:gridCol w:w="5250"/>
      </w:tblGrid>
      <w:tr>
        <w:trPr>
          <w:cantSplit/>
          <w:tblHeader/>
        </w:trPr>
        <w:tc>
          <w:tcPr>
            <w:tcW w:type="dxa" w:w="200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ID</w:t>
            </w:r>
          </w:p>
        </w:tc>
        <w:tc>
          <w:tcPr>
            <w:tcW w:type="dxa" w:w="238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État</w:t>
            </w:r>
          </w:p>
        </w:tc>
        <w:tc>
          <w:tcPr>
            <w:tcW w:type="dxa" w:w="52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Comportement attendu</w:t>
            </w:r>
          </w:p>
        </w:tc>
      </w:tr>
      <w:tr>
        <w:trPr>
          <w:cantSplit/>
          <w:tblHeader w:val="false"/>
        </w:trPr>
        <w:tc>
          <w:tcPr>
            <w:tcW w:type="dxa" w:w="200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UX-SEARCH-001</w:t>
            </w:r>
          </w:p>
        </w:tc>
        <w:tc>
          <w:tcPr>
            <w:tcW w:type="dxa" w:w="238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Initial</w:t>
            </w:r>
          </w:p>
        </w:tc>
        <w:tc>
          <w:tcPr>
            <w:tcW w:type="dxa" w:w="5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Afficher la zone de recherche et les éléments d’accueil prévus</w:t>
            </w:r>
          </w:p>
        </w:tc>
      </w:tr>
      <w:tr>
        <w:trPr>
          <w:cantSplit/>
          <w:tblHeader w:val="false"/>
        </w:trPr>
        <w:tc>
          <w:tcPr>
            <w:tcW w:type="dxa" w:w="200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UX-SEARCH-002</w:t>
            </w:r>
          </w:p>
        </w:tc>
        <w:tc>
          <w:tcPr>
            <w:tcW w:type="dxa" w:w="238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Saisie</w:t>
            </w:r>
          </w:p>
        </w:tc>
        <w:tc>
          <w:tcPr>
            <w:tcW w:type="dxa" w:w="525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Afficher clairement la requête en cours</w:t>
            </w:r>
          </w:p>
        </w:tc>
      </w:tr>
      <w:tr>
        <w:trPr>
          <w:cantSplit/>
          <w:tblHeader w:val="false"/>
        </w:trPr>
        <w:tc>
          <w:tcPr>
            <w:tcW w:type="dxa" w:w="200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UX-SEARCH-003</w:t>
            </w:r>
          </w:p>
        </w:tc>
        <w:tc>
          <w:tcPr>
            <w:tcW w:type="dxa" w:w="238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Chargement</w:t>
            </w:r>
          </w:p>
        </w:tc>
        <w:tc>
          <w:tcPr>
            <w:tcW w:type="dxa" w:w="5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Indiquer que la recherche est en cours</w:t>
            </w:r>
          </w:p>
        </w:tc>
      </w:tr>
      <w:tr>
        <w:trPr>
          <w:cantSplit/>
          <w:tblHeader w:val="false"/>
        </w:trPr>
        <w:tc>
          <w:tcPr>
            <w:tcW w:type="dxa" w:w="200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UX-SEARCH-004</w:t>
            </w:r>
          </w:p>
        </w:tc>
        <w:tc>
          <w:tcPr>
            <w:tcW w:type="dxa" w:w="238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Résultats</w:t>
            </w:r>
          </w:p>
        </w:tc>
        <w:tc>
          <w:tcPr>
            <w:tcW w:type="dxa" w:w="525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Afficher les produits correspondant à la requête</w:t>
            </w:r>
          </w:p>
        </w:tc>
      </w:tr>
      <w:tr>
        <w:trPr>
          <w:cantSplit/>
          <w:tblHeader w:val="false"/>
        </w:trPr>
        <w:tc>
          <w:tcPr>
            <w:tcW w:type="dxa" w:w="200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UX-SEARCH-005</w:t>
            </w:r>
          </w:p>
        </w:tc>
        <w:tc>
          <w:tcPr>
            <w:tcW w:type="dxa" w:w="238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Aucun résultat</w:t>
            </w:r>
          </w:p>
        </w:tc>
        <w:tc>
          <w:tcPr>
            <w:tcW w:type="dxa" w:w="5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Expliquer l’absence de résultat et proposer des actions utiles</w:t>
            </w:r>
          </w:p>
        </w:tc>
      </w:tr>
      <w:tr>
        <w:trPr>
          <w:cantSplit/>
          <w:tblHeader w:val="false"/>
        </w:trPr>
        <w:tc>
          <w:tcPr>
            <w:tcW w:type="dxa" w:w="200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UX-SEARCH-006</w:t>
            </w:r>
          </w:p>
        </w:tc>
        <w:tc>
          <w:tcPr>
            <w:tcW w:type="dxa" w:w="238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Erreur réseau</w:t>
            </w:r>
          </w:p>
        </w:tc>
        <w:tc>
          <w:tcPr>
            <w:tcW w:type="dxa" w:w="525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Expliquer le problème et proposer une nouvelle tentative</w:t>
            </w:r>
          </w:p>
        </w:tc>
      </w:tr>
      <w:tr>
        <w:trPr>
          <w:cantSplit/>
          <w:tblHeader w:val="false"/>
        </w:trPr>
        <w:tc>
          <w:tcPr>
            <w:tcW w:type="dxa" w:w="200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UX-SEARCH-007</w:t>
            </w:r>
          </w:p>
        </w:tc>
        <w:tc>
          <w:tcPr>
            <w:tcW w:type="dxa" w:w="238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Hors ligne avec cache</w:t>
            </w:r>
          </w:p>
        </w:tc>
        <w:tc>
          <w:tcPr>
            <w:tcW w:type="dxa" w:w="5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Afficher les données locales pertinentes et leur ancienneté</w:t>
            </w:r>
          </w:p>
        </w:tc>
      </w:tr>
      <w:tr>
        <w:trPr>
          <w:cantSplit/>
          <w:tblHeader w:val="false"/>
        </w:trPr>
        <w:tc>
          <w:tcPr>
            <w:tcW w:type="dxa" w:w="200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UX-SEARCH-008</w:t>
            </w:r>
          </w:p>
        </w:tc>
        <w:tc>
          <w:tcPr>
            <w:tcW w:type="dxa" w:w="238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Chargement complémentaire</w:t>
            </w:r>
          </w:p>
        </w:tc>
        <w:tc>
          <w:tcPr>
            <w:tcW w:type="dxa" w:w="525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Conserver les résultats déjà affichés lorsque cela est possible</w:t>
            </w:r>
          </w:p>
        </w:tc>
      </w:tr>
      <w:tr>
        <w:trPr>
          <w:cantSplit/>
          <w:tblHeader w:val="false"/>
        </w:trPr>
        <w:tc>
          <w:tcPr>
            <w:tcW w:type="dxa" w:w="200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UX-SEARCH-009</w:t>
            </w:r>
          </w:p>
        </w:tc>
        <w:tc>
          <w:tcPr>
            <w:tcW w:type="dxa" w:w="238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Actualisation</w:t>
            </w:r>
          </w:p>
        </w:tc>
        <w:tc>
          <w:tcPr>
            <w:tcW w:type="dxa" w:w="525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Indiquer l’actualisation sans masquer inutilement le contenu existant</w:t>
            </w:r>
          </w:p>
        </w:tc>
      </w:tr>
    </w:tbl>
    <w:p>
      <w:pPr>
        <w:spacing w:after="120" w:before="0"/>
      </w:pPr>
    </w:p>
    <w:p>
      <w:pPr>
        <w:pStyle w:val="Heading2"/>
      </w:pPr>
      <w:r>
        <w:t xml:space="preserve">6.4 Aucun résultat</w:t>
      </w:r>
    </w:p>
    <w:p>
      <w:pPr>
        <w:spacing w:after="120" w:before="60"/>
      </w:pPr>
      <w:r>
        <w:t xml:space="preserve">L’interface ne doit pas se limiter à afficher « Aucun résultat ».</w:t>
      </w:r>
    </w:p>
    <w:p>
      <w:pPr>
        <w:spacing w:after="120" w:before="60"/>
      </w:pPr>
      <w:r>
        <w:t xml:space="preserve">Elle pourra proposer, selon les capacités réelles du système :</w:t>
      </w:r>
    </w:p>
    <w:p>
      <w:pPr>
        <w:pStyle w:val="ListParagraph"/>
        <w:numPr>
          <w:ilvl w:val="0"/>
          <w:numId w:val="2"/>
        </w:numPr>
        <w:spacing w:after="60"/>
      </w:pPr>
      <w:r>
        <w:t xml:space="preserve">de vérifier l’orthographe ;</w:t>
      </w:r>
    </w:p>
    <w:p>
      <w:pPr>
        <w:pStyle w:val="ListParagraph"/>
        <w:numPr>
          <w:ilvl w:val="0"/>
          <w:numId w:val="2"/>
        </w:numPr>
        <w:spacing w:after="60"/>
      </w:pPr>
      <w:r>
        <w:t xml:space="preserve">d’essayer une requête plus courte ;</w:t>
      </w:r>
    </w:p>
    <w:p>
      <w:pPr>
        <w:pStyle w:val="ListParagraph"/>
        <w:numPr>
          <w:ilvl w:val="0"/>
          <w:numId w:val="2"/>
        </w:numPr>
        <w:spacing w:after="60"/>
      </w:pPr>
      <w:r>
        <w:t xml:space="preserve">de retirer certains filtres ;</w:t>
      </w:r>
    </w:p>
    <w:p>
      <w:pPr>
        <w:pStyle w:val="ListParagraph"/>
        <w:numPr>
          <w:ilvl w:val="0"/>
          <w:numId w:val="2"/>
        </w:numPr>
        <w:spacing w:after="60"/>
      </w:pPr>
      <w:r>
        <w:t xml:space="preserve">de consulter des catégories proches.</w:t>
      </w:r>
    </w:p>
    <w:p>
      <w:pPr>
        <w:spacing w:after="120" w:before="60"/>
      </w:pPr>
      <w:r>
        <w:t xml:space="preserve">Elle ne doit pas inventer des produits ni laisser croire qu’une recherche a été effectuée avec succès si le serveur a échoué.</w:t>
      </w:r>
    </w:p>
    <w:p>
      <w:pPr>
        <w:pStyle w:val="Heading1"/>
      </w:pPr>
      <w:r>
        <w:t xml:space="preserve">7. Spécifications de la fiche produit</w:t>
      </w:r>
    </w:p>
    <w:p>
      <w:pPr>
        <w:pStyle w:val="Heading2"/>
      </w:pPr>
      <w:r>
        <w:t xml:space="preserve">7.1 Objectif</w:t>
      </w:r>
    </w:p>
    <w:p>
      <w:pPr>
        <w:spacing w:after="120" w:before="60"/>
      </w:pPr>
      <w:r>
        <w:t xml:space="preserve">Permettre à l’utilisateur de confirmer qu’il consulte bien le produit correspondant à sa recherche avant de comparer les offres.</w:t>
      </w:r>
    </w:p>
    <w:p>
      <w:pPr>
        <w:pStyle w:val="Heading2"/>
      </w:pPr>
      <w:r>
        <w:t xml:space="preserve">7.2 Informations à considérer</w:t>
      </w:r>
    </w:p>
    <w:p>
      <w:pPr>
        <w:pStyle w:val="ListParagraph"/>
        <w:numPr>
          <w:ilvl w:val="0"/>
          <w:numId w:val="2"/>
        </w:numPr>
        <w:spacing w:after="60"/>
      </w:pPr>
      <w:r>
        <w:t xml:space="preserve">nom du produit ;</w:t>
      </w:r>
    </w:p>
    <w:p>
      <w:pPr>
        <w:pStyle w:val="ListParagraph"/>
        <w:numPr>
          <w:ilvl w:val="0"/>
          <w:numId w:val="2"/>
        </w:numPr>
        <w:spacing w:after="60"/>
      </w:pPr>
      <w:r>
        <w:t xml:space="preserve">marque ou fabricant, si applicable ;</w:t>
      </w:r>
    </w:p>
    <w:p>
      <w:pPr>
        <w:pStyle w:val="ListParagraph"/>
        <w:numPr>
          <w:ilvl w:val="0"/>
          <w:numId w:val="2"/>
        </w:numPr>
        <w:spacing w:after="60"/>
      </w:pPr>
      <w:r>
        <w:t xml:space="preserve">modèle ou référence ;</w:t>
      </w:r>
    </w:p>
    <w:p>
      <w:pPr>
        <w:pStyle w:val="ListParagraph"/>
        <w:numPr>
          <w:ilvl w:val="0"/>
          <w:numId w:val="2"/>
        </w:numPr>
        <w:spacing w:after="60"/>
      </w:pPr>
      <w:r>
        <w:t xml:space="preserve">format et quantité ;</w:t>
      </w:r>
    </w:p>
    <w:p>
      <w:pPr>
        <w:pStyle w:val="ListParagraph"/>
        <w:numPr>
          <w:ilvl w:val="0"/>
          <w:numId w:val="2"/>
        </w:numPr>
        <w:spacing w:after="60"/>
      </w:pPr>
      <w:r>
        <w:t xml:space="preserve">unité de mesure ;</w:t>
      </w:r>
    </w:p>
    <w:p>
      <w:pPr>
        <w:pStyle w:val="ListParagraph"/>
        <w:numPr>
          <w:ilvl w:val="0"/>
          <w:numId w:val="2"/>
        </w:numPr>
        <w:spacing w:after="60"/>
      </w:pPr>
      <w:r>
        <w:t xml:space="preserve">catégorie ;</w:t>
      </w:r>
    </w:p>
    <w:p>
      <w:pPr>
        <w:pStyle w:val="ListParagraph"/>
        <w:numPr>
          <w:ilvl w:val="0"/>
          <w:numId w:val="2"/>
        </w:numPr>
        <w:spacing w:after="60"/>
      </w:pPr>
      <w:r>
        <w:t xml:space="preserve">image, lorsqu’elle est disponible ;</w:t>
      </w:r>
    </w:p>
    <w:p>
      <w:pPr>
        <w:pStyle w:val="ListParagraph"/>
        <w:numPr>
          <w:ilvl w:val="0"/>
          <w:numId w:val="2"/>
        </w:numPr>
        <w:spacing w:after="60"/>
      </w:pPr>
      <w:r>
        <w:t xml:space="preserve">caractéristiques permettant de distinguer les variantes ;</w:t>
      </w:r>
    </w:p>
    <w:p>
      <w:pPr>
        <w:pStyle w:val="ListParagraph"/>
        <w:numPr>
          <w:ilvl w:val="0"/>
          <w:numId w:val="2"/>
        </w:numPr>
        <w:spacing w:after="60"/>
      </w:pPr>
      <w:r>
        <w:t xml:space="preserve">offres associées ;</w:t>
      </w:r>
    </w:p>
    <w:p>
      <w:pPr>
        <w:pStyle w:val="ListParagraph"/>
        <w:numPr>
          <w:ilvl w:val="0"/>
          <w:numId w:val="2"/>
        </w:numPr>
        <w:spacing w:after="60"/>
      </w:pPr>
      <w:r>
        <w:t xml:space="preserve">informations sur la fraîcheur des données.</w:t>
      </w:r>
    </w:p>
    <w:p>
      <w:pPr>
        <w:spacing w:after="120" w:before="60"/>
      </w:pPr>
      <w:r>
        <w:t xml:space="preserve">Les champs obligatoires et facultatifs devront être précisés dans le modèle de données et le contrat API.</w:t>
      </w:r>
    </w:p>
    <w:p>
      <w:pPr>
        <w:pStyle w:val="Heading2"/>
      </w:pPr>
      <w:r>
        <w:t xml:space="preserve">7.3 Règles UX</w:t>
      </w:r>
    </w:p>
    <w:p>
      <w:pPr>
        <w:pStyle w:val="ListParagraph"/>
        <w:numPr>
          <w:ilvl w:val="0"/>
          <w:numId w:val="2"/>
        </w:numPr>
        <w:spacing w:after="60"/>
      </w:pPr>
      <w:r>
        <w:t xml:space="preserve">Les différences entre variantes doivent être explicites.</w:t>
      </w:r>
    </w:p>
    <w:p>
      <w:pPr>
        <w:pStyle w:val="ListParagraph"/>
        <w:numPr>
          <w:ilvl w:val="0"/>
          <w:numId w:val="2"/>
        </w:numPr>
        <w:spacing w:after="60"/>
      </w:pPr>
      <w:r>
        <w:t xml:space="preserve">Une image absente ne doit pas empêcher la consultation du produit.</w:t>
      </w:r>
    </w:p>
    <w:p>
      <w:pPr>
        <w:pStyle w:val="ListParagraph"/>
        <w:numPr>
          <w:ilvl w:val="0"/>
          <w:numId w:val="2"/>
        </w:numPr>
        <w:spacing w:after="60"/>
      </w:pPr>
      <w:r>
        <w:t xml:space="preserve">Les informations inconnues ne doivent pas être remplacées par des valeurs inventées.</w:t>
      </w:r>
    </w:p>
    <w:p>
      <w:pPr>
        <w:pStyle w:val="ListParagraph"/>
        <w:numPr>
          <w:ilvl w:val="0"/>
          <w:numId w:val="2"/>
        </w:numPr>
        <w:spacing w:after="60"/>
      </w:pPr>
      <w:r>
        <w:t xml:space="preserve">Les produits de substitution doivent être présentés séparément des produits strictement équivalents.</w:t>
      </w:r>
    </w:p>
    <w:p>
      <w:pPr>
        <w:pStyle w:val="ListParagraph"/>
        <w:numPr>
          <w:ilvl w:val="0"/>
          <w:numId w:val="2"/>
        </w:numPr>
        <w:spacing w:after="60"/>
      </w:pPr>
      <w:r>
        <w:t xml:space="preserve">Une erreur de chargement des offres ne doit pas nécessairement empêcher l’affichage des informations produit déjà récupérées.</w:t>
      </w:r>
    </w:p>
    <w:p>
      <w:pPr>
        <w:pStyle w:val="Heading1"/>
      </w:pPr>
      <w:r>
        <w:t xml:space="preserve">8. Spécifications de l’écran de comparaison</w:t>
      </w:r>
    </w:p>
    <w:p>
      <w:pPr>
        <w:pStyle w:val="Heading2"/>
      </w:pPr>
      <w:r>
        <w:t xml:space="preserve">8.1 Objectif</w:t>
      </w:r>
    </w:p>
    <w:p>
      <w:pPr>
        <w:spacing w:after="120" w:before="60"/>
      </w:pPr>
      <w:r>
        <w:t xml:space="preserve">Présenter les offres disponibles pour un même produit de référence et permettre à l’utilisateur de comprendre leurs différences.</w:t>
      </w:r>
    </w:p>
    <w:p>
      <w:pPr>
        <w:pStyle w:val="Heading2"/>
      </w:pPr>
      <w:r>
        <w:t xml:space="preserve">8.2 Informations de comparaison</w:t>
      </w:r>
    </w:p>
    <w:p>
      <w:pPr>
        <w:spacing w:after="120" w:before="60"/>
      </w:pPr>
      <w:r>
        <w:t xml:space="preserve">Selon les données disponibles, chaque offre pourra afficher :</w:t>
      </w:r>
    </w:p>
    <w:p>
      <w:pPr>
        <w:pStyle w:val="ListParagraph"/>
        <w:numPr>
          <w:ilvl w:val="0"/>
          <w:numId w:val="2"/>
        </w:numPr>
        <w:spacing w:after="60"/>
      </w:pPr>
      <w:r>
        <w:t xml:space="preserve">prix et devise ;</w:t>
      </w:r>
    </w:p>
    <w:p>
      <w:pPr>
        <w:pStyle w:val="ListParagraph"/>
        <w:numPr>
          <w:ilvl w:val="0"/>
          <w:numId w:val="2"/>
        </w:numPr>
        <w:spacing w:after="60"/>
      </w:pPr>
      <w:r>
        <w:t xml:space="preserve">vendeur ;</w:t>
      </w:r>
    </w:p>
    <w:p>
      <w:pPr>
        <w:pStyle w:val="ListParagraph"/>
        <w:numPr>
          <w:ilvl w:val="0"/>
          <w:numId w:val="2"/>
        </w:numPr>
        <w:spacing w:after="60"/>
      </w:pPr>
      <w:r>
        <w:t xml:space="preserve">point de vente ou zone géographique ;</w:t>
      </w:r>
    </w:p>
    <w:p>
      <w:pPr>
        <w:pStyle w:val="ListParagraph"/>
        <w:numPr>
          <w:ilvl w:val="0"/>
          <w:numId w:val="2"/>
        </w:numPr>
        <w:spacing w:after="60"/>
      </w:pPr>
      <w:r>
        <w:t xml:space="preserve">format ou conditionnement vendu ;</w:t>
      </w:r>
    </w:p>
    <w:p>
      <w:pPr>
        <w:pStyle w:val="ListParagraph"/>
        <w:numPr>
          <w:ilvl w:val="0"/>
          <w:numId w:val="2"/>
        </w:numPr>
        <w:spacing w:after="60"/>
      </w:pPr>
      <w:r>
        <w:t xml:space="preserve">statut de disponibilité ;</w:t>
      </w:r>
    </w:p>
    <w:p>
      <w:pPr>
        <w:pStyle w:val="ListParagraph"/>
        <w:numPr>
          <w:ilvl w:val="0"/>
          <w:numId w:val="2"/>
        </w:numPr>
        <w:spacing w:after="60"/>
      </w:pPr>
      <w:r>
        <w:t xml:space="preserve">date d’observation du prix ;</w:t>
      </w:r>
    </w:p>
    <w:p>
      <w:pPr>
        <w:pStyle w:val="ListParagraph"/>
        <w:numPr>
          <w:ilvl w:val="0"/>
          <w:numId w:val="2"/>
        </w:numPr>
        <w:spacing w:after="60"/>
      </w:pPr>
      <w:r>
        <w:t xml:space="preserve">statut de vérification ;</w:t>
      </w:r>
    </w:p>
    <w:p>
      <w:pPr>
        <w:pStyle w:val="ListParagraph"/>
        <w:numPr>
          <w:ilvl w:val="0"/>
          <w:numId w:val="2"/>
        </w:numPr>
        <w:spacing w:after="60"/>
      </w:pPr>
      <w:r>
        <w:t xml:space="preserve">indicateur de fraîcheur ;</w:t>
      </w:r>
    </w:p>
    <w:p>
      <w:pPr>
        <w:pStyle w:val="ListParagraph"/>
        <w:numPr>
          <w:ilvl w:val="0"/>
          <w:numId w:val="2"/>
        </w:numPr>
        <w:spacing w:after="60"/>
      </w:pPr>
      <w:r>
        <w:t xml:space="preserve">éventuels frais supplémentaires connus.</w:t>
      </w:r>
    </w:p>
    <w:p>
      <w:pPr>
        <w:spacing w:after="120" w:before="60"/>
      </w:pPr>
      <w:r>
        <w:t xml:space="preserve">Le coût total ne doit être calculé que si les éléments nécessaires sont connus. Les frais inconnus ne doivent pas être considérés comme nuls.</w:t>
      </w:r>
    </w:p>
    <w:p>
      <w:pPr>
        <w:pStyle w:val="Heading2"/>
      </w:pPr>
      <w:r>
        <w:t xml:space="preserve">8.3 Règles de classement</w:t>
      </w:r>
    </w:p>
    <w:p>
      <w:pPr>
        <w:spacing w:after="120" w:before="60"/>
      </w:pPr>
      <w:r>
        <w:t xml:space="preserve">Le classement par prix croissant constitue une option à privilégier pour l’usage principal, sous réserve de validation.</w:t>
      </w:r>
    </w:p>
    <w:p>
      <w:pPr>
        <w:spacing w:after="120" w:before="60"/>
      </w:pPr>
      <w:r>
        <w:t xml:space="preserve">Les critères de classement doivent être compréhensibles et cohérents. Si des offres sont sponsorisées, leur statut doit être explicite et elles ne doivent pas être intégrées silencieusement au classement objectif.</w:t>
      </w:r>
    </w:p>
    <w:p>
      <w:pPr>
        <w:spacing w:after="120" w:before="60"/>
      </w:pPr>
      <w:r>
        <w:t xml:space="preserve">Le prix le plus bas ne doit pas être présenté comme automatiquement le meilleur choix si les offres diffèrent par leur disponibilité, leur quantité ou leur fiabilité.</w:t>
      </w:r>
    </w:p>
    <w:p>
      <w:pPr>
        <w:pStyle w:val="Heading2"/>
      </w:pPr>
      <w:r>
        <w:t xml:space="preserve">8.4 États de comparaison</w:t>
      </w:r>
    </w:p>
    <w:p>
      <w:pPr>
        <w:pStyle w:val="ListParagraph"/>
        <w:numPr>
          <w:ilvl w:val="0"/>
          <w:numId w:val="2"/>
        </w:numPr>
        <w:spacing w:after="60"/>
      </w:pPr>
      <w:r>
        <w:t xml:space="preserve">Chargement des offres.</w:t>
      </w:r>
    </w:p>
    <w:p>
      <w:pPr>
        <w:pStyle w:val="ListParagraph"/>
        <w:numPr>
          <w:ilvl w:val="0"/>
          <w:numId w:val="2"/>
        </w:numPr>
        <w:spacing w:after="60"/>
      </w:pPr>
      <w:r>
        <w:t xml:space="preserve">Offres disponibles.</w:t>
      </w:r>
    </w:p>
    <w:p>
      <w:pPr>
        <w:pStyle w:val="ListParagraph"/>
        <w:numPr>
          <w:ilvl w:val="0"/>
          <w:numId w:val="2"/>
        </w:numPr>
        <w:spacing w:after="60"/>
      </w:pPr>
      <w:r>
        <w:t xml:space="preserve">Aucune offre connue.</w:t>
      </w:r>
    </w:p>
    <w:p>
      <w:pPr>
        <w:pStyle w:val="ListParagraph"/>
        <w:numPr>
          <w:ilvl w:val="0"/>
          <w:numId w:val="2"/>
        </w:numPr>
        <w:spacing w:after="60"/>
      </w:pPr>
      <w:r>
        <w:t xml:space="preserve">Données partiellement disponibles.</w:t>
      </w:r>
    </w:p>
    <w:p>
      <w:pPr>
        <w:pStyle w:val="ListParagraph"/>
        <w:numPr>
          <w:ilvl w:val="0"/>
          <w:numId w:val="2"/>
        </w:numPr>
        <w:spacing w:after="60"/>
      </w:pPr>
      <w:r>
        <w:t xml:space="preserve">Prix anciens.</w:t>
      </w:r>
    </w:p>
    <w:p>
      <w:pPr>
        <w:pStyle w:val="ListParagraph"/>
        <w:numPr>
          <w:ilvl w:val="0"/>
          <w:numId w:val="2"/>
        </w:numPr>
        <w:spacing w:after="60"/>
      </w:pPr>
      <w:r>
        <w:t xml:space="preserve">Disponibilité inconnue.</w:t>
      </w:r>
    </w:p>
    <w:p>
      <w:pPr>
        <w:pStyle w:val="ListParagraph"/>
        <w:numPr>
          <w:ilvl w:val="0"/>
          <w:numId w:val="2"/>
        </w:numPr>
        <w:spacing w:after="60"/>
      </w:pPr>
      <w:r>
        <w:t xml:space="preserve">Erreur de récupération des offres.</w:t>
      </w:r>
    </w:p>
    <w:p>
      <w:pPr>
        <w:pStyle w:val="ListParagraph"/>
        <w:numPr>
          <w:ilvl w:val="0"/>
          <w:numId w:val="2"/>
        </w:numPr>
        <w:spacing w:after="60"/>
      </w:pPr>
      <w:r>
        <w:t xml:space="preserve">Consultation hors ligne des offres mises en cache.</w:t>
      </w:r>
    </w:p>
    <w:p>
      <w:pPr>
        <w:pStyle w:val="ListParagraph"/>
        <w:numPr>
          <w:ilvl w:val="0"/>
          <w:numId w:val="2"/>
        </w:numPr>
        <w:spacing w:after="60"/>
      </w:pPr>
      <w:r>
        <w:t xml:space="preserve">Actualisation en cours.</w:t>
      </w:r>
    </w:p>
    <w:p>
      <w:pPr>
        <w:pStyle w:val="ListParagraph"/>
        <w:numPr>
          <w:ilvl w:val="0"/>
          <w:numId w:val="2"/>
        </w:numPr>
        <w:spacing w:after="60"/>
      </w:pPr>
      <w:r>
        <w:t xml:space="preserve">Résultats devenus obsolètes après une nouvelle réponse du serveur.</w:t>
      </w:r>
    </w:p>
    <w:p>
      <w:pPr>
        <w:pStyle w:val="Heading1"/>
      </w:pPr>
      <w:r>
        <w:t xml:space="preserve">9. États génériques de l’interface</w:t>
      </w:r>
    </w:p>
    <w:p>
      <w:pPr>
        <w:spacing w:after="120" w:before="60"/>
      </w:pPr>
      <w:r>
        <w:t xml:space="preserve">Chaque écran qui dépend de données asynchrones doit définir les états applicables parmi les suivants.</w:t>
      </w:r>
    </w:p>
    <w:p>
      <w:pPr>
        <w:pStyle w:val="Heading2"/>
      </w:pPr>
      <w:r>
        <w:t xml:space="preserve">9.1 Initial</w:t>
      </w:r>
    </w:p>
    <w:p>
      <w:pPr>
        <w:spacing w:after="120" w:before="60"/>
      </w:pPr>
      <w:r>
        <w:t xml:space="preserve">État avant le premier chargement. Il doit présenter une interface cohérente sans simuler la présence de données.</w:t>
      </w:r>
    </w:p>
    <w:p>
      <w:pPr>
        <w:pStyle w:val="Heading2"/>
      </w:pPr>
      <w:r>
        <w:t xml:space="preserve">9.2 Chargement</w:t>
      </w:r>
    </w:p>
    <w:p>
      <w:pPr>
        <w:spacing w:after="120" w:before="60"/>
      </w:pPr>
      <w:r>
        <w:t xml:space="preserve">L’interface indique qu’une opération est en cours. Un indicateur bloquant ne doit être utilisé que lorsque l’interaction ne peut raisonnablement pas continuer.</w:t>
      </w:r>
    </w:p>
    <w:p>
      <w:pPr>
        <w:pStyle w:val="Heading2"/>
      </w:pPr>
      <w:r>
        <w:t xml:space="preserve">9.3 Succès</w:t>
      </w:r>
    </w:p>
    <w:p>
      <w:pPr>
        <w:spacing w:after="120" w:before="60"/>
      </w:pPr>
      <w:r>
        <w:t xml:space="preserve">Les données sont disponibles et les actions pertinentes sont accessibles.</w:t>
      </w:r>
    </w:p>
    <w:p>
      <w:pPr>
        <w:pStyle w:val="Heading2"/>
      </w:pPr>
      <w:r>
        <w:t xml:space="preserve">9.4 Vide</w:t>
      </w:r>
    </w:p>
    <w:p>
      <w:pPr>
        <w:spacing w:after="120" w:before="60"/>
      </w:pPr>
      <w:r>
        <w:t xml:space="preserve">Le système a répondu correctement, mais aucune donnée ne correspond au contexte. Cet état doit expliquer la situation et proposer une action adaptée.</w:t>
      </w:r>
    </w:p>
    <w:p>
      <w:pPr>
        <w:pStyle w:val="Heading2"/>
      </w:pPr>
      <w:r>
        <w:t xml:space="preserve">9.5 Erreur</w:t>
      </w:r>
    </w:p>
    <w:p>
      <w:pPr>
        <w:spacing w:after="120" w:before="60"/>
      </w:pPr>
      <w:r>
        <w:t xml:space="preserve">La récupération ou l’opération a échoué. Le message doit être compréhensible, ne pas exposer de détails techniques internes et proposer une solution lorsque cela est possible.</w:t>
      </w:r>
    </w:p>
    <w:p>
      <w:pPr>
        <w:pStyle w:val="Heading2"/>
      </w:pPr>
      <w:r>
        <w:t xml:space="preserve">9.6 Données partielles</w:t>
      </w:r>
    </w:p>
    <w:p>
      <w:pPr>
        <w:spacing w:after="120" w:before="60"/>
      </w:pPr>
      <w:r>
        <w:t xml:space="preserve">Certaines informations sont disponibles, mais d’autres ne l’ont pas été. L’interface doit préserver les données exploitables sans présenter les champs manquants comme confirmés.</w:t>
      </w:r>
    </w:p>
    <w:p>
      <w:pPr>
        <w:pStyle w:val="Heading2"/>
      </w:pPr>
      <w:r>
        <w:t xml:space="preserve">9.7 Données obsolètes</w:t>
      </w:r>
    </w:p>
    <w:p>
      <w:pPr>
        <w:spacing w:after="120" w:before="60"/>
      </w:pPr>
      <w:r>
        <w:t xml:space="preserve">Les données locales ou distantes peuvent être anciennes. Leur ancienneté doit être signalée lorsque cela influence la décision de l’utilisateur.</w:t>
      </w:r>
    </w:p>
    <w:p>
      <w:pPr>
        <w:pStyle w:val="Heading2"/>
      </w:pPr>
      <w:r>
        <w:t xml:space="preserve">9.8 Hors ligne</w:t>
      </w:r>
    </w:p>
    <w:p>
      <w:pPr>
        <w:spacing w:after="120" w:before="60"/>
      </w:pPr>
      <w:r>
        <w:t xml:space="preserve">L’interface indique l’absence de connexion et limite les actions aux fonctionnalités réellement disponibles hors ligne.</w:t>
      </w:r>
    </w:p>
    <w:p>
      <w:pPr>
        <w:pStyle w:val="Heading2"/>
      </w:pPr>
      <w:r>
        <w:t xml:space="preserve">9.9 Actualisation</w:t>
      </w:r>
    </w:p>
    <w:p>
      <w:pPr>
        <w:spacing w:after="120" w:before="60"/>
      </w:pPr>
      <w:r>
        <w:t xml:space="preserve">Lorsqu’une actualisation est possible, l’interface doit conserver le contenu existant si cela est pertinent et signaler le résultat de l’opération.</w:t>
      </w:r>
    </w:p>
    <w:p>
      <w:pPr>
        <w:pStyle w:val="Heading1"/>
      </w:pPr>
      <w:r>
        <w:t xml:space="preserve">10. Règles d’affichage des dates et de la fraîcheur</w:t>
      </w:r>
    </w:p>
    <w:p>
      <w:pPr>
        <w:spacing w:after="120" w:before="60"/>
      </w:pPr>
      <w:r>
        <w:t xml:space="preserve">Les notions suivantes doivent rester distinctes :</w:t>
      </w:r>
    </w:p>
    <w:p>
      <w:pPr>
        <w:pStyle w:val="ListParagraph"/>
        <w:numPr>
          <w:ilvl w:val="0"/>
          <w:numId w:val="2"/>
        </w:numPr>
        <w:spacing w:after="60"/>
      </w:pPr>
      <w:r>
        <w:rPr>
          <w:b/>
          <w:bCs/>
        </w:rPr>
        <w:t xml:space="preserve">Date d’observation :</w:t>
      </w:r>
      <w:r>
        <w:t xml:space="preserve"> moment auquel le prix a été constaté ou déclaré, selon sa source.</w:t>
      </w:r>
    </w:p>
    <w:p>
      <w:pPr>
        <w:pStyle w:val="ListParagraph"/>
        <w:numPr>
          <w:ilvl w:val="0"/>
          <w:numId w:val="2"/>
        </w:numPr>
        <w:spacing w:after="60"/>
      </w:pPr>
      <w:r>
        <w:rPr>
          <w:b/>
          <w:bCs/>
        </w:rPr>
        <w:t xml:space="preserve">Date de publication :</w:t>
      </w:r>
      <w:r>
        <w:t xml:space="preserve"> moment auquel l’information a été rendue accessible, si cette donnée est disponible.</w:t>
      </w:r>
    </w:p>
    <w:p>
      <w:pPr>
        <w:pStyle w:val="ListParagraph"/>
        <w:numPr>
          <w:ilvl w:val="0"/>
          <w:numId w:val="2"/>
        </w:numPr>
        <w:spacing w:after="60"/>
      </w:pPr>
      <w:r>
        <w:rPr>
          <w:b/>
          <w:bCs/>
        </w:rPr>
        <w:t xml:space="preserve">Date de synchronisation :</w:t>
      </w:r>
      <w:r>
        <w:t xml:space="preserve"> moment auquel les données locales ont été actualisées depuis le serveur.</w:t>
      </w:r>
    </w:p>
    <w:p>
      <w:pPr>
        <w:pStyle w:val="ListParagraph"/>
        <w:numPr>
          <w:ilvl w:val="0"/>
          <w:numId w:val="2"/>
        </w:numPr>
        <w:spacing w:after="60"/>
      </w:pPr>
      <w:r>
        <w:rPr>
          <w:b/>
          <w:bCs/>
        </w:rPr>
        <w:t xml:space="preserve">Expiration métier :</w:t>
      </w:r>
      <w:r>
        <w:t xml:space="preserve"> limite au-delà de laquelle le prix ne doit plus être considéré comme suffisamment récent selon les règles définies.</w:t>
      </w:r>
    </w:p>
    <w:p>
      <w:pPr>
        <w:spacing w:after="120" w:before="60"/>
      </w:pPr>
      <w:r>
        <w:t xml:space="preserve">La date de synchronisation ne remplace jamais la date d’observation.</w:t>
      </w:r>
    </w:p>
    <w:p>
      <w:pPr>
        <w:spacing w:after="120" w:before="60"/>
      </w:pPr>
      <w:r>
        <w:t xml:space="preserve">L’expiration métier d’un prix ne doit pas être confondue avec la durée de conservation technique du cache.</w:t>
      </w:r>
    </w:p>
    <w:p>
      <w:pPr>
        <w:spacing w:after="120" w:before="60"/>
      </w:pPr>
      <w:r>
        <w:t xml:space="preserve">Les règles précises de fraîcheur par catégorie de produits restent à définir.</w:t>
      </w:r>
    </w:p>
    <w:p>
      <w:pPr>
        <w:pStyle w:val="Heading1"/>
      </w:pPr>
      <w:r>
        <w:t xml:space="preserve">11. Gestion des erreurs</w:t>
      </w:r>
    </w:p>
    <w:p>
      <w:pPr>
        <w:spacing w:after="120" w:before="60"/>
      </w:pPr>
      <w:r>
        <w:t xml:space="preserve">Les messages doivent être adaptés au contexte et ne pas exposer les exceptions internes, les traces techniques ou les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6465"/>
      </w:tblGrid>
      <w:tr>
        <w:trPr>
          <w:cantSplit/>
          <w:tblHeader/>
        </w:trPr>
        <w:tc>
          <w:tcPr>
            <w:tcW w:type="dxa" w:w="317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Situation</w:t>
            </w:r>
          </w:p>
        </w:tc>
        <w:tc>
          <w:tcPr>
            <w:tcW w:type="dxa" w:w="646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Comportement attendu</w:t>
            </w:r>
          </w:p>
        </w:tc>
      </w:tr>
      <w:tr>
        <w:trPr>
          <w:cantSplit/>
          <w:tblHeader w:val="false"/>
        </w:trPr>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Absence de connexion</w:t>
            </w:r>
          </w:p>
        </w:tc>
        <w:tc>
          <w:tcPr>
            <w:tcW w:type="dxa" w:w="64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Informer l’utilisateur et proposer les données locales disponibles</w:t>
            </w:r>
          </w:p>
        </w:tc>
      </w:tr>
      <w:tr>
        <w:trPr>
          <w:cantSplit/>
          <w:tblHeader w:val="false"/>
        </w:trPr>
        <w:tc>
          <w:tcPr>
            <w:tcW w:type="dxa" w:w="317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Délai d’attente dépassé</w:t>
            </w:r>
          </w:p>
        </w:tc>
        <w:tc>
          <w:tcPr>
            <w:tcW w:type="dxa" w:w="646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Signaler l’échec et permettre une nouvelle tentative</w:t>
            </w:r>
          </w:p>
        </w:tc>
      </w:tr>
      <w:tr>
        <w:trPr>
          <w:cantSplit/>
          <w:tblHeader w:val="false"/>
        </w:trPr>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Erreur serveur</w:t>
            </w:r>
          </w:p>
        </w:tc>
        <w:tc>
          <w:tcPr>
            <w:tcW w:type="dxa" w:w="64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Afficher un message compréhensible sans exposer les détails internes</w:t>
            </w:r>
          </w:p>
        </w:tc>
      </w:tr>
      <w:tr>
        <w:trPr>
          <w:cantSplit/>
          <w:tblHeader w:val="false"/>
        </w:trPr>
        <w:tc>
          <w:tcPr>
            <w:tcW w:type="dxa" w:w="317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Session expirée</w:t>
            </w:r>
          </w:p>
        </w:tc>
        <w:tc>
          <w:tcPr>
            <w:tcW w:type="dxa" w:w="646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Demander une nouvelle authentification si nécessaire</w:t>
            </w:r>
          </w:p>
        </w:tc>
      </w:tr>
      <w:tr>
        <w:trPr>
          <w:cantSplit/>
          <w:tblHeader w:val="false"/>
        </w:trPr>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Accès refusé</w:t>
            </w:r>
          </w:p>
        </w:tc>
        <w:tc>
          <w:tcPr>
            <w:tcW w:type="dxa" w:w="64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Expliquer que l’action n’est pas autorisée</w:t>
            </w:r>
          </w:p>
        </w:tc>
      </w:tr>
      <w:tr>
        <w:trPr>
          <w:cantSplit/>
          <w:tblHeader w:val="false"/>
        </w:trPr>
        <w:tc>
          <w:tcPr>
            <w:tcW w:type="dxa" w:w="317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Entrée invalide</w:t>
            </w:r>
          </w:p>
        </w:tc>
        <w:tc>
          <w:tcPr>
            <w:tcW w:type="dxa" w:w="646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Indiquer le champ à corriger et conserver les données valides</w:t>
            </w:r>
          </w:p>
        </w:tc>
      </w:tr>
      <w:tr>
        <w:trPr>
          <w:cantSplit/>
          <w:tblHeader w:val="false"/>
        </w:trPr>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Image indisponible</w:t>
            </w:r>
          </w:p>
        </w:tc>
        <w:tc>
          <w:tcPr>
            <w:tcW w:type="dxa" w:w="64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Afficher un substitut visuel neutre</w:t>
            </w:r>
          </w:p>
        </w:tc>
      </w:tr>
      <w:tr>
        <w:trPr>
          <w:cantSplit/>
          <w:tblHeader w:val="false"/>
        </w:trPr>
        <w:tc>
          <w:tcPr>
            <w:tcW w:type="dxa" w:w="317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Actualisation échouée</w:t>
            </w:r>
          </w:p>
        </w:tc>
        <w:tc>
          <w:tcPr>
            <w:tcW w:type="dxa" w:w="646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Conserver les données locales utilisables et signaler leur ancienneté</w:t>
            </w:r>
          </w:p>
        </w:tc>
      </w:tr>
      <w:tr>
        <w:trPr>
          <w:cantSplit/>
          <w:tblHeader w:val="false"/>
        </w:trPr>
        <w:tc>
          <w:tcPr>
            <w:tcW w:type="dxa" w:w="317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Résultats devenus obsolètes</w:t>
            </w:r>
          </w:p>
        </w:tc>
        <w:tc>
          <w:tcPr>
            <w:tcW w:type="dxa" w:w="646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Proposer une actualisation sans prétendre que les données sont actuelles</w:t>
            </w:r>
          </w:p>
        </w:tc>
      </w:tr>
    </w:tbl>
    <w:p>
      <w:pPr>
        <w:spacing w:after="120" w:before="0"/>
      </w:pPr>
    </w:p>
    <w:p>
      <w:pPr>
        <w:spacing w:after="120" w:before="60"/>
      </w:pPr>
      <w:r>
        <w:t xml:space="preserve">Les codes d’erreur exacts, leur traduction en messages UX et les règles de reprise devront être alignés avec le contrat d’API Django REST Framework.</w:t>
      </w:r>
    </w:p>
    <w:p>
      <w:pPr>
        <w:pStyle w:val="Heading1"/>
      </w:pPr>
      <w:r>
        <w:t xml:space="preserve">12. Mode hors ligne et cache</w:t>
      </w:r>
    </w:p>
    <w:p>
      <w:pPr>
        <w:spacing w:after="120" w:before="60"/>
      </w:pPr>
      <w:r>
        <w:t xml:space="preserve">La décision retenue pour le MVP autorise la consultation de données précédemment mises en cache, mais exclut la création d’observations de prix hors connexion et leur synchronisation différée.</w:t>
      </w:r>
    </w:p>
    <w:p>
      <w:pPr>
        <w:spacing w:after="120" w:before="60"/>
      </w:pPr>
      <w:r>
        <w:t xml:space="preserve">L’interface doit donc :</w:t>
      </w:r>
    </w:p>
    <w:p>
      <w:pPr>
        <w:pStyle w:val="ListParagraph"/>
        <w:numPr>
          <w:ilvl w:val="0"/>
          <w:numId w:val="2"/>
        </w:numPr>
        <w:spacing w:after="60"/>
      </w:pPr>
      <w:r>
        <w:t xml:space="preserve">indiquer que l’utilisateur est hors ligne lorsque cette information est pertinente ;</w:t>
      </w:r>
    </w:p>
    <w:p>
      <w:pPr>
        <w:pStyle w:val="ListParagraph"/>
        <w:numPr>
          <w:ilvl w:val="0"/>
          <w:numId w:val="2"/>
        </w:numPr>
        <w:spacing w:after="60"/>
      </w:pPr>
      <w:r>
        <w:t xml:space="preserve">distinguer les données locales des données actualisées ;</w:t>
      </w:r>
    </w:p>
    <w:p>
      <w:pPr>
        <w:pStyle w:val="ListParagraph"/>
        <w:numPr>
          <w:ilvl w:val="0"/>
          <w:numId w:val="2"/>
        </w:numPr>
        <w:spacing w:after="60"/>
      </w:pPr>
      <w:r>
        <w:t xml:space="preserve">afficher l’ancienneté des prix ;</w:t>
      </w:r>
    </w:p>
    <w:p>
      <w:pPr>
        <w:pStyle w:val="ListParagraph"/>
        <w:numPr>
          <w:ilvl w:val="0"/>
          <w:numId w:val="2"/>
        </w:numPr>
        <w:spacing w:after="60"/>
      </w:pPr>
      <w:r>
        <w:t xml:space="preserve">permettre l’actualisation lorsque la connexion revient ;</w:t>
      </w:r>
    </w:p>
    <w:p>
      <w:pPr>
        <w:pStyle w:val="ListParagraph"/>
        <w:numPr>
          <w:ilvl w:val="0"/>
          <w:numId w:val="2"/>
        </w:numPr>
        <w:spacing w:after="60"/>
      </w:pPr>
      <w:r>
        <w:t xml:space="preserve">conserver les données exploitables si une actualisation échoue ;</w:t>
      </w:r>
    </w:p>
    <w:p>
      <w:pPr>
        <w:pStyle w:val="ListParagraph"/>
        <w:numPr>
          <w:ilvl w:val="0"/>
          <w:numId w:val="2"/>
        </w:numPr>
        <w:spacing w:after="60"/>
      </w:pPr>
      <w:r>
        <w:t xml:space="preserve">ne pas simuler une réussite serveur ;</w:t>
      </w:r>
    </w:p>
    <w:p>
      <w:pPr>
        <w:pStyle w:val="ListParagraph"/>
        <w:numPr>
          <w:ilvl w:val="0"/>
          <w:numId w:val="2"/>
        </w:numPr>
        <w:spacing w:after="60"/>
      </w:pPr>
      <w:r>
        <w:t xml:space="preserve">gérer les changements de compte sans exposer les données d’un utilisateur précédent.</w:t>
      </w:r>
    </w:p>
    <w:p>
      <w:pPr>
        <w:spacing w:after="120" w:before="60"/>
      </w:pPr>
      <w:r>
        <w:t xml:space="preserve">La portée exacte du cache, sa durée de conservation, ses règles d’invalidation et le comportement de la recherche locale restent à spécifier.</w:t>
      </w:r>
    </w:p>
    <w:p>
      <w:pPr>
        <w:pStyle w:val="Heading1"/>
      </w:pPr>
      <w:r>
        <w:t xml:space="preserve">13. Accessibilité et adaptation aux appareils</w:t>
      </w:r>
    </w:p>
    <w:p>
      <w:pPr>
        <w:spacing w:after="120" w:before="60"/>
      </w:pPr>
      <w:r>
        <w:t xml:space="preserve">L’application devra être testée sur plusieurs tailles d’écran et configurations système.</w:t>
      </w:r>
    </w:p>
    <w:p>
      <w:pPr>
        <w:spacing w:after="120" w:before="60"/>
      </w:pPr>
      <w:r>
        <w:t xml:space="preserve">Les exigences à préciser comprennent :</w:t>
      </w:r>
    </w:p>
    <w:p>
      <w:pPr>
        <w:pStyle w:val="ListParagraph"/>
        <w:numPr>
          <w:ilvl w:val="0"/>
          <w:numId w:val="2"/>
        </w:numPr>
        <w:spacing w:after="60"/>
      </w:pPr>
      <w:r>
        <w:t xml:space="preserve">contraste suffisant entre texte et arrière-plan ;</w:t>
      </w:r>
    </w:p>
    <w:p>
      <w:pPr>
        <w:pStyle w:val="ListParagraph"/>
        <w:numPr>
          <w:ilvl w:val="0"/>
          <w:numId w:val="2"/>
        </w:numPr>
        <w:spacing w:after="60"/>
      </w:pPr>
      <w:r>
        <w:t xml:space="preserve">tailles de texte lisibles et adaptation aux préférences système ;</w:t>
      </w:r>
    </w:p>
    <w:p>
      <w:pPr>
        <w:pStyle w:val="ListParagraph"/>
        <w:numPr>
          <w:ilvl w:val="0"/>
          <w:numId w:val="2"/>
        </w:numPr>
        <w:spacing w:after="60"/>
      </w:pPr>
      <w:r>
        <w:t xml:space="preserve">zones tactiles adaptées ;</w:t>
      </w:r>
    </w:p>
    <w:p>
      <w:pPr>
        <w:pStyle w:val="ListParagraph"/>
        <w:numPr>
          <w:ilvl w:val="0"/>
          <w:numId w:val="2"/>
        </w:numPr>
        <w:spacing w:after="60"/>
      </w:pPr>
      <w:r>
        <w:t xml:space="preserve">libellés accessibles pour les icônes et les contrôles ;</w:t>
      </w:r>
    </w:p>
    <w:p>
      <w:pPr>
        <w:pStyle w:val="ListParagraph"/>
        <w:numPr>
          <w:ilvl w:val="0"/>
          <w:numId w:val="2"/>
        </w:numPr>
        <w:spacing w:after="60"/>
      </w:pPr>
      <w:r>
        <w:t xml:space="preserve">ordre de lecture cohérent ;</w:t>
      </w:r>
    </w:p>
    <w:p>
      <w:pPr>
        <w:pStyle w:val="ListParagraph"/>
        <w:numPr>
          <w:ilvl w:val="0"/>
          <w:numId w:val="2"/>
        </w:numPr>
        <w:spacing w:after="60"/>
      </w:pPr>
      <w:r>
        <w:t xml:space="preserve">gestion des textes longs et des noms de produits ;</w:t>
      </w:r>
    </w:p>
    <w:p>
      <w:pPr>
        <w:pStyle w:val="ListParagraph"/>
        <w:numPr>
          <w:ilvl w:val="0"/>
          <w:numId w:val="2"/>
        </w:numPr>
        <w:spacing w:after="60"/>
      </w:pPr>
      <w:r>
        <w:t xml:space="preserve">absence de débordements lors du changement de taille de police ;</w:t>
      </w:r>
    </w:p>
    <w:p>
      <w:pPr>
        <w:pStyle w:val="ListParagraph"/>
        <w:numPr>
          <w:ilvl w:val="0"/>
          <w:numId w:val="2"/>
        </w:numPr>
        <w:spacing w:after="60"/>
      </w:pPr>
      <w:r>
        <w:t xml:space="preserve">prise en charge des états de chargement et d’erreur sans dépendre uniquement de la couleur.</w:t>
      </w:r>
    </w:p>
    <w:p>
      <w:pPr>
        <w:spacing w:after="120" w:before="60"/>
      </w:pPr>
      <w:r>
        <w:t xml:space="preserve">Les appareils de référence, les versions minimales d’Android et iOS et les objectifs chiffrés d’accessibilité restent à définir.</w:t>
      </w:r>
    </w:p>
    <w:p>
      <w:pPr>
        <w:pStyle w:val="Heading1"/>
      </w:pPr>
      <w:r>
        <w:t xml:space="preserve">14. Critères d’acceptation initiaux</w:t>
      </w:r>
    </w:p>
    <w:p>
      <w:pPr>
        <w:spacing w:after="120" w:before="60"/>
      </w:pPr>
      <w:r>
        <w:t xml:space="preserve">Les critères suivants constituent une base à transformer en cas de test détaillés.</w:t>
      </w:r>
    </w:p>
    <w:p>
      <w:pPr>
        <w:pStyle w:val="ListParagraph"/>
        <w:numPr>
          <w:ilvl w:val="0"/>
          <w:numId w:val="2"/>
        </w:numPr>
        <w:spacing w:after="60"/>
      </w:pPr>
      <w:r>
        <w:rPr>
          <w:b/>
          <w:bCs/>
        </w:rPr>
        <w:t xml:space="preserve">AC-UX-001 :</w:t>
      </w:r>
      <w:r>
        <w:t xml:space="preserve"> l’utilisateur peut identifier le produit et sa variante depuis les résultats de recherche.</w:t>
      </w:r>
    </w:p>
    <w:p>
      <w:pPr>
        <w:pStyle w:val="ListParagraph"/>
        <w:numPr>
          <w:ilvl w:val="0"/>
          <w:numId w:val="2"/>
        </w:numPr>
        <w:spacing w:after="60"/>
      </w:pPr>
      <w:r>
        <w:rPr>
          <w:b/>
          <w:bCs/>
        </w:rPr>
        <w:t xml:space="preserve">AC-UX-002 :</w:t>
      </w:r>
      <w:r>
        <w:t xml:space="preserve"> l’interface distingue un produit strictement équivalent d’un substitut.</w:t>
      </w:r>
    </w:p>
    <w:p>
      <w:pPr>
        <w:pStyle w:val="ListParagraph"/>
        <w:numPr>
          <w:ilvl w:val="0"/>
          <w:numId w:val="2"/>
        </w:numPr>
        <w:spacing w:after="60"/>
      </w:pPr>
      <w:r>
        <w:rPr>
          <w:b/>
          <w:bCs/>
        </w:rPr>
        <w:t xml:space="preserve">AC-UX-003 :</w:t>
      </w:r>
      <w:r>
        <w:t xml:space="preserve"> chaque prix affiché expose sa date d’observation lorsqu’elle est connue, sans la confondre avec la date de synchronisation.</w:t>
      </w:r>
    </w:p>
    <w:p>
      <w:pPr>
        <w:pStyle w:val="ListParagraph"/>
        <w:numPr>
          <w:ilvl w:val="0"/>
          <w:numId w:val="2"/>
        </w:numPr>
        <w:spacing w:after="60"/>
      </w:pPr>
      <w:r>
        <w:rPr>
          <w:b/>
          <w:bCs/>
        </w:rPr>
        <w:t xml:space="preserve">AC-UX-004 :</w:t>
      </w:r>
      <w:r>
        <w:t xml:space="preserve"> une absence de résultat est distinguée d’une erreur réseau.</w:t>
      </w:r>
    </w:p>
    <w:p>
      <w:pPr>
        <w:pStyle w:val="ListParagraph"/>
        <w:numPr>
          <w:ilvl w:val="0"/>
          <w:numId w:val="2"/>
        </w:numPr>
        <w:spacing w:after="60"/>
      </w:pPr>
      <w:r>
        <w:rPr>
          <w:b/>
          <w:bCs/>
        </w:rPr>
        <w:t xml:space="preserve">AC-UX-005 :</w:t>
      </w:r>
      <w:r>
        <w:t xml:space="preserve"> une erreur de chargement fournit un message compréhensible et une possibilité de reprise adaptée.</w:t>
      </w:r>
    </w:p>
    <w:p>
      <w:pPr>
        <w:pStyle w:val="ListParagraph"/>
        <w:numPr>
          <w:ilvl w:val="0"/>
          <w:numId w:val="2"/>
        </w:numPr>
        <w:spacing w:after="60"/>
      </w:pPr>
      <w:r>
        <w:rPr>
          <w:b/>
          <w:bCs/>
        </w:rPr>
        <w:t xml:space="preserve">AC-UX-006 :</w:t>
      </w:r>
      <w:r>
        <w:t xml:space="preserve"> une donnée locale ancienne n’est pas présentée comme une donnée fraîchement confirmée.</w:t>
      </w:r>
    </w:p>
    <w:p>
      <w:pPr>
        <w:pStyle w:val="ListParagraph"/>
        <w:numPr>
          <w:ilvl w:val="0"/>
          <w:numId w:val="2"/>
        </w:numPr>
        <w:spacing w:after="60"/>
      </w:pPr>
      <w:r>
        <w:rPr>
          <w:b/>
          <w:bCs/>
        </w:rPr>
        <w:t xml:space="preserve">AC-UX-007 :</w:t>
      </w:r>
      <w:r>
        <w:t xml:space="preserve"> l’échec d’une actualisation ne fait pas disparaître inutilement les données locales encore exploitables.</w:t>
      </w:r>
    </w:p>
    <w:p>
      <w:pPr>
        <w:pStyle w:val="ListParagraph"/>
        <w:numPr>
          <w:ilvl w:val="0"/>
          <w:numId w:val="2"/>
        </w:numPr>
        <w:spacing w:after="60"/>
      </w:pPr>
      <w:r>
        <w:rPr>
          <w:b/>
          <w:bCs/>
        </w:rPr>
        <w:t xml:space="preserve">AC-UX-008 :</w:t>
      </w:r>
      <w:r>
        <w:t xml:space="preserve"> l’absence d’image ou d’une donnée facultative ne casse pas l’écran.</w:t>
      </w:r>
    </w:p>
    <w:p>
      <w:pPr>
        <w:pStyle w:val="ListParagraph"/>
        <w:numPr>
          <w:ilvl w:val="0"/>
          <w:numId w:val="2"/>
        </w:numPr>
        <w:spacing w:after="60"/>
      </w:pPr>
      <w:r>
        <w:rPr>
          <w:b/>
          <w:bCs/>
        </w:rPr>
        <w:t xml:space="preserve">AC-UX-009 :</w:t>
      </w:r>
      <w:r>
        <w:t xml:space="preserve"> les statuts essentiels restent compréhensibles sans distinguer les couleurs.</w:t>
      </w:r>
    </w:p>
    <w:p>
      <w:pPr>
        <w:pStyle w:val="ListParagraph"/>
        <w:numPr>
          <w:ilvl w:val="0"/>
          <w:numId w:val="2"/>
        </w:numPr>
        <w:spacing w:after="60"/>
      </w:pPr>
      <w:r>
        <w:rPr>
          <w:b/>
          <w:bCs/>
        </w:rPr>
        <w:t xml:space="preserve">AC-UX-010 :</w:t>
      </w:r>
      <w:r>
        <w:t xml:space="preserve"> l’application ne prétend pas avoir enregistré ou transmis une donnée lorsque le serveur n’a pas confirmé l’opération.</w:t>
      </w:r>
    </w:p>
    <w:p>
      <w:pPr>
        <w:spacing w:after="120" w:before="60"/>
      </w:pPr>
      <w:r>
        <w:t xml:space="preserve">Les seuils mesurables, les jeux de données de test et les résultats attendus seront détaillés dans le document de tests.</w:t>
      </w:r>
    </w:p>
    <w:p>
      <w:pPr>
        <w:pStyle w:val="Heading1"/>
      </w:pPr>
      <w:r>
        <w:t xml:space="preserve">15. Décisions et points ouverts</w:t>
      </w:r>
    </w:p>
    <w:p>
      <w:pPr>
        <w:spacing w:after="120" w:before="60"/>
      </w:pPr>
      <w:r>
        <w:rPr>
          <w:b/>
          <w:bCs/>
        </w:rPr>
        <w:t xml:space="preserve">Principes retenus</w:t>
      </w:r>
    </w:p>
    <w:p>
      <w:pPr>
        <w:pStyle w:val="ListParagraph"/>
        <w:numPr>
          <w:ilvl w:val="0"/>
          <w:numId w:val="2"/>
        </w:numPr>
        <w:spacing w:after="60"/>
      </w:pPr>
      <w:r>
        <w:t xml:space="preserve">Le frontend cible est Flutter.</w:t>
      </w:r>
    </w:p>
    <w:p>
      <w:pPr>
        <w:pStyle w:val="ListParagraph"/>
        <w:numPr>
          <w:ilvl w:val="0"/>
          <w:numId w:val="2"/>
        </w:numPr>
        <w:spacing w:after="60"/>
      </w:pPr>
      <w:r>
        <w:t xml:space="preserve">L’expérience doit privilégier la transparence et la fiabilité des prix.</w:t>
      </w:r>
    </w:p>
    <w:p>
      <w:pPr>
        <w:pStyle w:val="ListParagraph"/>
        <w:numPr>
          <w:ilvl w:val="0"/>
          <w:numId w:val="2"/>
        </w:numPr>
        <w:spacing w:after="60"/>
      </w:pPr>
      <w:r>
        <w:t xml:space="preserve">Le MVP autorise la consultation hors ligne du cache en lecture seule.</w:t>
      </w:r>
    </w:p>
    <w:p>
      <w:pPr>
        <w:pStyle w:val="ListParagraph"/>
        <w:numPr>
          <w:ilvl w:val="0"/>
          <w:numId w:val="2"/>
        </w:numPr>
        <w:spacing w:after="60"/>
      </w:pPr>
      <w:r>
        <w:t xml:space="preserve">La date d’observation et la date de synchronisation sont deux notions distinctes.</w:t>
      </w:r>
    </w:p>
    <w:p>
      <w:pPr>
        <w:pStyle w:val="ListParagraph"/>
        <w:numPr>
          <w:ilvl w:val="0"/>
          <w:numId w:val="2"/>
        </w:numPr>
        <w:spacing w:after="60"/>
      </w:pPr>
      <w:r>
        <w:t xml:space="preserve">Les erreurs, états vides et données obsolètes doivent être traités explicitement.</w:t>
      </w:r>
    </w:p>
    <w:p>
      <w:pPr>
        <w:pStyle w:val="ListParagraph"/>
        <w:numPr>
          <w:ilvl w:val="0"/>
          <w:numId w:val="2"/>
        </w:numPr>
        <w:spacing w:after="60"/>
      </w:pPr>
      <w:r>
        <w:t xml:space="preserve">Le classement standard doit rester neutre et compréhensible.</w:t>
      </w:r>
    </w:p>
    <w:p>
      <w:pPr>
        <w:spacing w:after="120" w:before="60"/>
      </w:pPr>
      <w:r>
        <w:rPr>
          <w:b/>
          <w:bCs/>
        </w:rPr>
        <w:t xml:space="preserve">Décisions encore ouvertes</w:t>
      </w:r>
    </w:p>
    <w:p>
      <w:pPr>
        <w:pStyle w:val="ListParagraph"/>
        <w:numPr>
          <w:ilvl w:val="0"/>
          <w:numId w:val="2"/>
        </w:numPr>
        <w:spacing w:after="60"/>
      </w:pPr>
      <w:r>
        <w:t xml:space="preserve">Palette de couleurs, typographie et système d’espacement.</w:t>
      </w:r>
    </w:p>
    <w:p>
      <w:pPr>
        <w:pStyle w:val="ListParagraph"/>
        <w:numPr>
          <w:ilvl w:val="0"/>
          <w:numId w:val="2"/>
        </w:numPr>
        <w:spacing w:after="60"/>
      </w:pPr>
      <w:r>
        <w:t xml:space="preserve">Navigation principale et organisation des écrans.</w:t>
      </w:r>
    </w:p>
    <w:p>
      <w:pPr>
        <w:pStyle w:val="ListParagraph"/>
        <w:numPr>
          <w:ilvl w:val="0"/>
          <w:numId w:val="2"/>
        </w:numPr>
        <w:spacing w:after="60"/>
      </w:pPr>
      <w:r>
        <w:t xml:space="preserve">Contenu exact de l’écran d’accueil.</w:t>
      </w:r>
    </w:p>
    <w:p>
      <w:pPr>
        <w:pStyle w:val="ListParagraph"/>
        <w:numPr>
          <w:ilvl w:val="0"/>
          <w:numId w:val="2"/>
        </w:numPr>
        <w:spacing w:after="60"/>
      </w:pPr>
      <w:r>
        <w:t xml:space="preserve">Design définitif des cartes de produits et d’offres.</w:t>
      </w:r>
    </w:p>
    <w:p>
      <w:pPr>
        <w:pStyle w:val="ListParagraph"/>
        <w:numPr>
          <w:ilvl w:val="0"/>
          <w:numId w:val="2"/>
        </w:numPr>
        <w:spacing w:after="60"/>
      </w:pPr>
      <w:r>
        <w:t xml:space="preserve">Critères et libellés de fraîcheur des prix.</w:t>
      </w:r>
    </w:p>
    <w:p>
      <w:pPr>
        <w:pStyle w:val="ListParagraph"/>
        <w:numPr>
          <w:ilvl w:val="0"/>
          <w:numId w:val="2"/>
        </w:numPr>
        <w:spacing w:after="60"/>
      </w:pPr>
      <w:r>
        <w:t xml:space="preserve">Règles précises de tri, de filtrage et de classement.</w:t>
      </w:r>
    </w:p>
    <w:p>
      <w:pPr>
        <w:pStyle w:val="ListParagraph"/>
        <w:numPr>
          <w:ilvl w:val="0"/>
          <w:numId w:val="2"/>
        </w:numPr>
        <w:spacing w:after="60"/>
      </w:pPr>
      <w:r>
        <w:t xml:space="preserve">Comportement de la recherche hors ligne.</w:t>
      </w:r>
    </w:p>
    <w:p>
      <w:pPr>
        <w:pStyle w:val="ListParagraph"/>
        <w:numPr>
          <w:ilvl w:val="0"/>
          <w:numId w:val="2"/>
        </w:numPr>
        <w:spacing w:after="60"/>
      </w:pPr>
      <w:r>
        <w:t xml:space="preserve">Portée et durée du cache par type de donnée.</w:t>
      </w:r>
    </w:p>
    <w:p>
      <w:pPr>
        <w:pStyle w:val="ListParagraph"/>
        <w:numPr>
          <w:ilvl w:val="0"/>
          <w:numId w:val="2"/>
        </w:numPr>
        <w:spacing w:after="60"/>
      </w:pPr>
      <w:r>
        <w:t xml:space="preserve">Présence des favoris, contributions et signalements dans le premier MVP.</w:t>
      </w:r>
    </w:p>
    <w:p>
      <w:pPr>
        <w:pStyle w:val="ListParagraph"/>
        <w:numPr>
          <w:ilvl w:val="0"/>
          <w:numId w:val="2"/>
        </w:numPr>
        <w:spacing w:after="60"/>
      </w:pPr>
      <w:r>
        <w:t xml:space="preserve">Versions minimales des systèmes d’exploitation et exigences d’accessibilité mesurables.</w:t>
      </w:r>
    </w:p>
    <w:p>
      <w:pPr>
        <w:pStyle w:val="Heading1"/>
      </w:pPr>
      <w:r>
        <w:t xml:space="preserve">16. 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1"/>
        <w:gridCol w:w="1621"/>
        <w:gridCol w:w="4413"/>
        <w:gridCol w:w="2253"/>
      </w:tblGrid>
      <w:tr>
        <w:trPr>
          <w:cantSplit/>
          <w:tblHeader/>
        </w:trPr>
        <w:tc>
          <w:tcPr>
            <w:tcW w:type="dxa" w:w="135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Version</w:t>
            </w:r>
          </w:p>
        </w:tc>
        <w:tc>
          <w:tcPr>
            <w:tcW w:type="dxa" w:w="1621"/>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Date</w:t>
            </w:r>
          </w:p>
        </w:tc>
        <w:tc>
          <w:tcPr>
            <w:tcW w:type="dxa" w:w="441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Modification</w:t>
            </w:r>
          </w:p>
        </w:tc>
        <w:tc>
          <w:tcPr>
            <w:tcW w:type="dxa" w:w="225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Statut</w:t>
            </w:r>
          </w:p>
        </w:tc>
      </w:tr>
      <w:tr>
        <w:trPr>
          <w:cantSplit/>
          <w:tblHeader w:val="false"/>
        </w:trPr>
        <w:tc>
          <w:tcPr>
            <w:tcW w:type="dxa" w:w="135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0.1</w:t>
            </w:r>
          </w:p>
        </w:tc>
        <w:tc>
          <w:tcPr>
            <w:tcW w:type="dxa" w:w="1621"/>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11/10/2026</w:t>
            </w:r>
          </w:p>
        </w:tc>
        <w:tc>
          <w:tcPr>
            <w:tcW w:type="dxa" w:w="441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Création du document et définition du cadre UX/UI</w:t>
            </w:r>
          </w:p>
        </w:tc>
        <w:tc>
          <w:tcPr>
            <w:tcW w:type="dxa" w:w="225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À valider progressivement</w:t>
            </w:r>
          </w:p>
        </w:tc>
      </w:tr>
    </w:tbl>
    <w:p>
      <w:pPr>
        <w:spacing w:after="120" w:before="0"/>
      </w:pPr>
    </w:p>
    <w:p>
      <w:pPr>
        <w:spacing w:after="120" w:before="60"/>
      </w:pPr>
      <w:r>
        <w:rPr>
          <w:b/>
          <w:bCs/>
        </w:rPr>
        <w:t xml:space="preserve">Fin du document 01 — Version de travail 0.1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Comparateur de prix au Gabon – Frontend Flutter – v0.1 – 11 octobre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DOC-FE-UX-001 – Spécifications UX/UI et états de l’interface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DOC-FE-UX-001 – Spécifications UX/UI et états de l’interface</dc:title>
  <dc:creator>Immo360</dc:creator>
  <cp:lastModifiedBy>Un-named</cp:lastModifiedBy>
  <cp:revision>1</cp:revision>
  <dcterms:created xsi:type="dcterms:W3CDTF">2026-10-12T06:32:30.940Z</dcterms:created>
  <dcterms:modified xsi:type="dcterms:W3CDTF">2026-10-12T06:32:30.946Z</dcterms:modified>
</cp:coreProperties>
</file>

<file path=docProps/custom.xml><?xml version="1.0" encoding="utf-8"?>
<Properties xmlns="http://schemas.openxmlformats.org/officeDocument/2006/custom-properties" xmlns:vt="http://schemas.openxmlformats.org/officeDocument/2006/docPropsVTypes"/>
</file>