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A4A" w:val="clear"/>
            <w:tcMar>
              <w:top w:type="dxa" w:w="400"/>
              <w:left w:type="dxa" w:w="500"/>
              <w:bottom w:type="dxa" w:w="400"/>
              <w:right w:type="dxa" w:w="500"/>
            </w:tcMar>
          </w:tcPr>
          <w:p>
            <w:pPr>
              <w:jc w:val="center"/>
            </w:pPr>
            <w:r>
              <w:rPr>
                <w:rFonts w:ascii="Arial" w:cs="Arial" w:eastAsia="Arial" w:hAnsi="Arial"/>
                <w:b/>
                <w:bCs/>
                <w:color w:val="D4A017"/>
                <w:sz w:val="22"/>
                <w:szCs w:val="22"/>
              </w:rPr>
              <w:t xml:space="preserve">IDEA #2 — PHASE 1 — MAKE MONEY NOW</w:t>
            </w:r>
          </w:p>
          <w:p>
            <w:pPr>
              <w:spacing w:after="120" w:before="120"/>
              <w:jc w:val="center"/>
            </w:pPr>
            <w:r>
              <w:rPr>
                <w:rFonts w:ascii="Arial" w:cs="Arial" w:eastAsia="Arial" w:hAnsi="Arial"/>
                <w:b/>
                <w:bCs/>
                <w:color w:val="FFFFFF"/>
                <w:sz w:val="48"/>
                <w:szCs w:val="48"/>
              </w:rPr>
              <w:t xml:space="preserve">AI Lead
Qualification Bot</w:t>
            </w:r>
          </w:p>
          <w:p>
            <w:pPr>
              <w:jc w:val="center"/>
            </w:pPr>
            <w:r>
              <w:rPr>
                <w:rFonts w:ascii="Arial" w:cs="Arial" w:eastAsia="Arial" w:hAnsi="Arial"/>
                <w:color w:val="DDDDDD"/>
                <w:sz w:val="24"/>
                <w:szCs w:val="24"/>
              </w:rPr>
              <w:t xml:space="preserve">Never waste a sales call on a cold lead again.</w:t>
            </w:r>
          </w:p>
          <w:p>
            <w:pPr>
              <w:spacing w:before="200"/>
              <w:jc w:val="center"/>
            </w:pPr>
            <w:r>
              <w:rPr>
                <w:rFonts w:ascii="Arial" w:cs="Arial" w:eastAsia="Arial" w:hAnsi="Arial"/>
                <w:color w:val="D4A017"/>
                <w:sz w:val="18"/>
                <w:szCs w:val="18"/>
              </w:rPr>
              <w:t xml:space="preserve">HERMIE IHMIG | LEVINN GROUP</w:t>
            </w:r>
          </w:p>
        </w:tc>
      </w:tr>
    </w:tbl>
    <w:p>
      <w:pPr>
        <w:spacing w:after="160"/>
      </w:pPr>
      <w:r>
        <w:t xml:space="preserve"/>
      </w:r>
    </w:p>
    <w:p>
      <w:pPr>
        <w:pStyle w:val="Heading1"/>
      </w:pPr>
      <w:r>
        <w:rPr>
          <w:rFonts w:ascii="Arial" w:cs="Arial" w:eastAsia="Arial" w:hAnsi="Arial"/>
          <w:b/>
          <w:bCs/>
          <w:color w:val="1B2A4A"/>
          <w:sz w:val="36"/>
          <w:szCs w:val="36"/>
        </w:rPr>
        <w:t xml:space="preserve">02. AI Lead Qualification Bot</w:t>
      </w:r>
    </w:p>
    <w:p>
      <w:pPr>
        <w:pBdr>
          <w:bottom w:val="single" w:color="D4A017" w:sz="2"/>
        </w:pBdr>
        <w:spacing w:after="200" w:before="200"/>
      </w:pPr>
      <w:r>
        <w:t xml:space="preserve"/>
      </w:r>
    </w:p>
    <w:p>
      <w:pPr>
        <w:pStyle w:val="Heading2"/>
      </w:pPr>
      <w:r>
        <w:rPr>
          <w:rFonts w:ascii="Arial" w:cs="Arial" w:eastAsia="Arial" w:hAnsi="Arial"/>
          <w:b/>
          <w:bCs/>
          <w:color w:val="1B2A4A"/>
          <w:sz w:val="28"/>
          <w:szCs w:val="28"/>
        </w:rPr>
        <w:t xml:space="preserve">Executive Summary</w:t>
      </w:r>
    </w:p>
    <w:p>
      <w:pPr>
        <w:spacing w:after="120"/>
      </w:pPr>
      <w:r>
        <w:rPr>
          <w:rFonts w:ascii="Arial" w:cs="Arial" w:eastAsia="Arial" w:hAnsi="Arial"/>
          <w:sz w:val="22"/>
          <w:szCs w:val="22"/>
        </w:rPr>
        <w:t xml:space="preserve">Every SA business with a sales team has the same problem: salespeople waste 60% of their time chasing unqualified leads. An AI lead qualification bot intercepts every inbound inquiry, asks the right questions, scores the lead, and routes only hot prospects to human salespeople. You build and deploy these bots for real estate agents, insurance brokers, car dealers, and financial advisors — niches with high lead volume and massive cost-per-acquisition. You charge per qualified lead delivered, creating a performance-based model clients love.</w:t>
      </w:r>
    </w:p>
    <w:p>
      <w:pPr>
        <w:spacing w:after="160"/>
      </w:pPr>
      <w:r>
        <w:t xml:space="preserve"/>
      </w:r>
    </w:p>
    <w:p>
      <w:pPr>
        <w:pStyle w:val="Heading2"/>
      </w:pPr>
      <w:r>
        <w:rPr>
          <w:rFonts w:ascii="Arial" w:cs="Arial" w:eastAsia="Arial" w:hAnsi="Arial"/>
          <w:b/>
          <w:bCs/>
          <w:color w:val="1B2A4A"/>
          <w:sz w:val="28"/>
          <w:szCs w:val="28"/>
        </w:rPr>
        <w:t xml:space="preserve">Business Overview</w:t>
      </w:r>
    </w:p>
    <w:p>
      <w:pPr>
        <w:spacing w:after="100" w:before="200"/>
      </w:pPr>
      <w:r>
        <w:rPr>
          <w:rFonts w:ascii="Arial" w:cs="Arial" w:eastAsia="Arial" w:hAnsi="Arial"/>
          <w:b/>
          <w:bCs/>
          <w:color w:val="1A56A0"/>
          <w:sz w:val="24"/>
          <w:szCs w:val="24"/>
        </w:rPr>
        <w:t xml:space="preserve">The Problem</w:t>
      </w:r>
    </w:p>
    <w:p>
      <w:pPr>
        <w:pStyle w:val="ListParagraph"/>
        <w:numPr>
          <w:ilvl w:val="0"/>
          <w:numId w:val="2"/>
        </w:numPr>
        <w:spacing w:after="80"/>
      </w:pPr>
      <w:r>
        <w:rPr>
          <w:rFonts w:ascii="Arial" w:cs="Arial" w:eastAsia="Arial" w:hAnsi="Arial"/>
          <w:sz w:val="22"/>
          <w:szCs w:val="22"/>
        </w:rPr>
        <w:t xml:space="preserve">SA real estate agents receive 50–200 leads/month from property portals — most are unqualified browsers.</w:t>
      </w:r>
    </w:p>
    <w:p>
      <w:pPr>
        <w:pStyle w:val="ListParagraph"/>
        <w:numPr>
          <w:ilvl w:val="0"/>
          <w:numId w:val="2"/>
        </w:numPr>
        <w:spacing w:after="80"/>
      </w:pPr>
      <w:r>
        <w:rPr>
          <w:rFonts w:ascii="Arial" w:cs="Arial" w:eastAsia="Arial" w:hAnsi="Arial"/>
          <w:sz w:val="22"/>
          <w:szCs w:val="22"/>
        </w:rPr>
        <w:t xml:space="preserve">Insurance brokers pay R200–800 per lead from aggregators, then lose 70% to no-shows.</w:t>
      </w:r>
    </w:p>
    <w:p>
      <w:pPr>
        <w:pStyle w:val="ListParagraph"/>
        <w:numPr>
          <w:ilvl w:val="0"/>
          <w:numId w:val="2"/>
        </w:numPr>
        <w:spacing w:after="80"/>
      </w:pPr>
      <w:r>
        <w:rPr>
          <w:rFonts w:ascii="Arial" w:cs="Arial" w:eastAsia="Arial" w:hAnsi="Arial"/>
          <w:sz w:val="22"/>
          <w:szCs w:val="22"/>
        </w:rPr>
        <w:t xml:space="preserve">Sales teams average 4.7 touches to qualify a lead manually — an AI does it in 90 seconds.</w:t>
      </w:r>
    </w:p>
    <w:p>
      <w:pPr>
        <w:pStyle w:val="ListParagraph"/>
        <w:numPr>
          <w:ilvl w:val="0"/>
          <w:numId w:val="2"/>
        </w:numPr>
        <w:spacing w:after="80"/>
      </w:pPr>
      <w:r>
        <w:rPr>
          <w:rFonts w:ascii="Arial" w:cs="Arial" w:eastAsia="Arial" w:hAnsi="Arial"/>
          <w:sz w:val="22"/>
          <w:szCs w:val="22"/>
        </w:rPr>
        <w:t xml:space="preserve">CRM systems exist but nobody is using them to pre-qualify — the gap is the human step.</w:t>
      </w:r>
    </w:p>
    <w:p>
      <w:pPr>
        <w:spacing w:after="100" w:before="200"/>
      </w:pPr>
      <w:r>
        <w:rPr>
          <w:rFonts w:ascii="Arial" w:cs="Arial" w:eastAsia="Arial" w:hAnsi="Arial"/>
          <w:b/>
          <w:bCs/>
          <w:color w:val="1A56A0"/>
          <w:sz w:val="24"/>
          <w:szCs w:val="24"/>
        </w:rPr>
        <w:t xml:space="preserve">The Solution</w:t>
      </w:r>
    </w:p>
    <w:p>
      <w:pPr>
        <w:spacing w:after="120"/>
      </w:pPr>
      <w:r>
        <w:rPr>
          <w:rFonts w:ascii="Arial" w:cs="Arial" w:eastAsia="Arial" w:hAnsi="Arial"/>
          <w:sz w:val="22"/>
          <w:szCs w:val="22"/>
        </w:rPr>
        <w:t xml:space="preserve">You build conversational AI flows (WhatsApp/web widget) that greet every inbound lead, ask qualifying questions (budget, timeline, location, motivation), score them 1–10, and auto-route to the right salesperson with a full briefing note. Salespeople only receive leads scored 7+.</w:t>
      </w:r>
    </w:p>
    <w:p>
      <w:pPr>
        <w:spacing w:after="160"/>
      </w:pPr>
      <w:r>
        <w:t xml:space="preserve"/>
      </w:r>
    </w:p>
    <w:p>
      <w:pPr>
        <w:pStyle w:val="Heading2"/>
      </w:pPr>
      <w:r>
        <w:rPr>
          <w:rFonts w:ascii="Arial" w:cs="Arial" w:eastAsia="Arial" w:hAnsi="Arial"/>
          <w:b/>
          <w:bCs/>
          <w:color w:val="1B2A4A"/>
          <w:sz w:val="28"/>
          <w:szCs w:val="28"/>
        </w:rPr>
        <w:t xml:space="preserve">Business Model Canvas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CANVAS ELEMENT</w:t>
            </w:r>
          </w:p>
        </w:tc>
        <w:tc>
          <w:tcPr>
            <w:tcW w:type="dxa" w:w="46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00000"/>
                <w:sz w:val="20"/>
                <w:szCs w:val="20"/>
              </w:rPr>
              <w:t xml:space="preserve">Value Proposition</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Only talk to buyers who are ready — AI filters the rest</w:t>
            </w:r>
          </w:p>
        </w:tc>
      </w:tr>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00000"/>
                <w:sz w:val="20"/>
                <w:szCs w:val="20"/>
              </w:rPr>
              <w:t xml:space="preserve">Customer Segments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Real estate agencies, car dealerships, insurance brokers, financial advisors</w:t>
            </w:r>
          </w:p>
        </w:tc>
      </w:tr>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00000"/>
                <w:sz w:val="20"/>
                <w:szCs w:val="20"/>
              </w:rPr>
              <w:t xml:space="preserve">Channels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LinkedIn outreach to sales managers, referrals from CRM consultants</w:t>
            </w:r>
          </w:p>
        </w:tc>
      </w:tr>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00000"/>
                <w:sz w:val="20"/>
                <w:szCs w:val="20"/>
              </w:rPr>
              <w:t xml:space="preserve">Revenue Streams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Per-qualified-lead fee (R50–200) OR monthly retainer R6,000–15,000</w:t>
            </w:r>
          </w:p>
        </w:tc>
      </w:tr>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00000"/>
                <w:sz w:val="20"/>
                <w:szCs w:val="20"/>
              </w:rPr>
              <w:t xml:space="preserve">Key Resources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AI bot platform (ManyChat/WATI/custom), lead scoring logic, CRM integrations</w:t>
            </w:r>
          </w:p>
        </w:tc>
      </w:tr>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00000"/>
                <w:sz w:val="20"/>
                <w:szCs w:val="20"/>
              </w:rPr>
              <w:t xml:space="preserve">Key Activities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Bot flow design, lead scoring calibration, CRM integration, reporting</w:t>
            </w:r>
          </w:p>
        </w:tc>
      </w:tr>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00000"/>
                <w:sz w:val="20"/>
                <w:szCs w:val="20"/>
              </w:rPr>
              <w:t xml:space="preserve">Key Partners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Property24, AutoTrader, insurance aggregators (as lead sources)</w:t>
            </w:r>
          </w:p>
        </w:tc>
      </w:tr>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00000"/>
                <w:sz w:val="20"/>
                <w:szCs w:val="20"/>
              </w:rPr>
              <w:t xml:space="preserve">Cost Structure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Platform R800/month, 1 VA for monitoring R5,000/month</w:t>
            </w:r>
          </w:p>
        </w:tc>
      </w:tr>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00000"/>
                <w:sz w:val="20"/>
                <w:szCs w:val="20"/>
              </w:rPr>
              <w:t xml:space="preserve">Unfair Advantage</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Pay-per-result model removes adoption risk for clients</w:t>
            </w:r>
          </w:p>
        </w:tc>
      </w:tr>
    </w:tbl>
    <w:p>
      <w:pPr>
        <w:spacing w:after="160"/>
      </w:pPr>
      <w:r>
        <w:t xml:space="preserve"/>
      </w:r>
    </w:p>
    <w:p>
      <w:pPr>
        <w:pStyle w:val="Heading2"/>
      </w:pPr>
      <w:r>
        <w:rPr>
          <w:rFonts w:ascii="Arial" w:cs="Arial" w:eastAsia="Arial" w:hAnsi="Arial"/>
          <w:b/>
          <w:bCs/>
          <w:color w:val="1B2A4A"/>
          <w:sz w:val="28"/>
          <w:szCs w:val="28"/>
        </w:rPr>
        <w:t xml:space="preserve">Target Market — South Africa</w:t>
      </w:r>
    </w:p>
    <w:p>
      <w:pPr>
        <w:pStyle w:val="ListParagraph"/>
        <w:numPr>
          <w:ilvl w:val="0"/>
          <w:numId w:val="2"/>
        </w:numPr>
        <w:spacing w:after="80"/>
      </w:pPr>
      <w:r>
        <w:rPr>
          <w:rFonts w:ascii="Arial" w:cs="Arial" w:eastAsia="Arial" w:hAnsi="Arial"/>
          <w:sz w:val="22"/>
          <w:szCs w:val="22"/>
        </w:rPr>
        <w:t xml:space="preserve">Real estate: 40,000+ registered agents in SA. Top 1% earn R80,000+/month — they will pay R10,000/month to only talk to qualified buyers.</w:t>
      </w:r>
    </w:p>
    <w:p>
      <w:pPr>
        <w:pStyle w:val="ListParagraph"/>
        <w:numPr>
          <w:ilvl w:val="0"/>
          <w:numId w:val="2"/>
        </w:numPr>
        <w:spacing w:after="80"/>
      </w:pPr>
      <w:r>
        <w:rPr>
          <w:rFonts w:ascii="Arial" w:cs="Arial" w:eastAsia="Arial" w:hAnsi="Arial"/>
          <w:sz w:val="22"/>
          <w:szCs w:val="22"/>
        </w:rPr>
        <w:t xml:space="preserve">Car dealerships: Average dealer receives 300+ leads/month from AutoTrader/WeBuyCars. Qualification rate is &lt; 15%.</w:t>
      </w:r>
    </w:p>
    <w:p>
      <w:pPr>
        <w:pStyle w:val="ListParagraph"/>
        <w:numPr>
          <w:ilvl w:val="0"/>
          <w:numId w:val="2"/>
        </w:numPr>
        <w:spacing w:after="80"/>
      </w:pPr>
      <w:r>
        <w:rPr>
          <w:rFonts w:ascii="Arial" w:cs="Arial" w:eastAsia="Arial" w:hAnsi="Arial"/>
          <w:sz w:val="22"/>
          <w:szCs w:val="22"/>
        </w:rPr>
        <w:t xml:space="preserve">Insurance brokers: FAnews reports 120,000+ FSCA-licensed brokers in SA. Per-lead cost from aggregators is R200–500.</w:t>
      </w:r>
    </w:p>
    <w:p>
      <w:pPr>
        <w:pStyle w:val="ListParagraph"/>
        <w:numPr>
          <w:ilvl w:val="0"/>
          <w:numId w:val="2"/>
        </w:numPr>
        <w:spacing w:after="80"/>
      </w:pPr>
      <w:r>
        <w:rPr>
          <w:rFonts w:ascii="Arial" w:cs="Arial" w:eastAsia="Arial" w:hAnsi="Arial"/>
          <w:sz w:val="22"/>
          <w:szCs w:val="22"/>
        </w:rPr>
        <w:t xml:space="preserve">Financial advisors (CFPs): 15,000+ in SA, average client acquisition cost is R8,000. AI drops this to R500.</w:t>
      </w:r>
    </w:p>
    <w:p>
      <w:pPr>
        <w:spacing w:after="160"/>
      </w:pPr>
      <w:r>
        <w:t xml:space="preserve"/>
      </w:r>
    </w:p>
    <w:p>
      <w:pPr>
        <w:pStyle w:val="Heading2"/>
      </w:pPr>
      <w:r>
        <w:rPr>
          <w:rFonts w:ascii="Arial" w:cs="Arial" w:eastAsia="Arial" w:hAnsi="Arial"/>
          <w:b/>
          <w:bCs/>
          <w:color w:val="1B2A4A"/>
          <w:sz w:val="28"/>
          <w:szCs w:val="28"/>
        </w:rPr>
        <w:t xml:space="preserve">Revenue Model &amp; Pricing</w:t>
      </w:r>
    </w:p>
    <w:p>
      <w:pPr>
        <w:spacing w:after="120"/>
      </w:pPr>
      <w:r>
        <w:rPr>
          <w:rFonts w:ascii="Arial" w:cs="Arial" w:eastAsia="Arial" w:hAnsi="Arial"/>
          <w:sz w:val="22"/>
          <w:szCs w:val="22"/>
        </w:rPr>
        <w:t xml:space="preserve">Two pricing models — use whichever the client prefers:</w:t>
      </w:r>
    </w:p>
    <w:p>
      <w:pPr>
        <w:pStyle w:val="ListParagraph"/>
        <w:numPr>
          <w:ilvl w:val="0"/>
          <w:numId w:val="2"/>
        </w:numPr>
        <w:spacing w:after="80"/>
      </w:pPr>
      <w:r>
        <w:rPr>
          <w:rFonts w:ascii="Arial" w:cs="Arial" w:eastAsia="Arial" w:hAnsi="Arial"/>
          <w:sz w:val="22"/>
          <w:szCs w:val="22"/>
        </w:rPr>
        <w:t xml:space="preserve">Performance Model: R80–150 per qualified lead delivered (7+ score). No risk for client.</w:t>
      </w:r>
    </w:p>
    <w:p>
      <w:pPr>
        <w:pStyle w:val="ListParagraph"/>
        <w:numPr>
          <w:ilvl w:val="0"/>
          <w:numId w:val="2"/>
        </w:numPr>
        <w:spacing w:after="80"/>
      </w:pPr>
      <w:r>
        <w:rPr>
          <w:rFonts w:ascii="Arial" w:cs="Arial" w:eastAsia="Arial" w:hAnsi="Arial"/>
          <w:sz w:val="22"/>
          <w:szCs w:val="22"/>
        </w:rPr>
        <w:t xml:space="preserve">Retainer Model: R8,000–15,000/month for unlimited qualification up to agreed volume.</w:t>
      </w:r>
    </w:p>
    <w:p>
      <w:pPr>
        <w:pStyle w:val="ListParagraph"/>
        <w:numPr>
          <w:ilvl w:val="0"/>
          <w:numId w:val="2"/>
        </w:numPr>
        <w:spacing w:after="80"/>
      </w:pPr>
      <w:r>
        <w:rPr>
          <w:rFonts w:ascii="Arial" w:cs="Arial" w:eastAsia="Arial" w:hAnsi="Arial"/>
          <w:sz w:val="22"/>
          <w:szCs w:val="22"/>
        </w:rPr>
        <w:t xml:space="preserve">Hybrid: R5,000 setup + R60 per qualified lead. Best margin for you once volume builds.</w:t>
      </w:r>
    </w:p>
    <w:p>
      <w:pPr>
        <w:spacing w:after="160"/>
      </w:pPr>
      <w:r>
        <w:t xml:space="preserve"/>
      </w:r>
    </w:p>
    <w:p>
      <w:pPr>
        <w:pStyle w:val="Heading2"/>
      </w:pPr>
      <w:r>
        <w:rPr>
          <w:rFonts w:ascii="Arial" w:cs="Arial" w:eastAsia="Arial" w:hAnsi="Arial"/>
          <w:b/>
          <w:bCs/>
          <w:color w:val="1B2A4A"/>
          <w:sz w:val="28"/>
          <w:szCs w:val="28"/>
        </w:rPr>
        <w:t xml:space="preserve">Competitive Landscape</w:t>
      </w:r>
    </w:p>
    <w:p>
      <w:pPr>
        <w:pStyle w:val="ListParagraph"/>
        <w:numPr>
          <w:ilvl w:val="0"/>
          <w:numId w:val="2"/>
        </w:numPr>
        <w:spacing w:after="80"/>
      </w:pPr>
      <w:r>
        <w:rPr>
          <w:rFonts w:ascii="Arial" w:cs="Arial" w:eastAsia="Arial" w:hAnsi="Arial"/>
          <w:sz w:val="22"/>
          <w:szCs w:val="22"/>
        </w:rPr>
        <w:t xml:space="preserve">HubSpot, Salesforce — enterprise CRM tools with lead scoring. No managed service, no local support.</w:t>
      </w:r>
    </w:p>
    <w:p>
      <w:pPr>
        <w:pStyle w:val="ListParagraph"/>
        <w:numPr>
          <w:ilvl w:val="0"/>
          <w:numId w:val="2"/>
        </w:numPr>
        <w:spacing w:after="80"/>
      </w:pPr>
      <w:r>
        <w:rPr>
          <w:rFonts w:ascii="Arial" w:cs="Arial" w:eastAsia="Arial" w:hAnsi="Arial"/>
          <w:sz w:val="22"/>
          <w:szCs w:val="22"/>
        </w:rPr>
        <w:t xml:space="preserve">LeadSquared — Indian CRM, some SA presence, not WhatsApp-native.</w:t>
      </w:r>
    </w:p>
    <w:p>
      <w:pPr>
        <w:pStyle w:val="ListParagraph"/>
        <w:numPr>
          <w:ilvl w:val="0"/>
          <w:numId w:val="2"/>
        </w:numPr>
        <w:spacing w:after="80"/>
      </w:pPr>
      <w:r>
        <w:rPr>
          <w:rFonts w:ascii="Arial" w:cs="Arial" w:eastAsia="Arial" w:hAnsi="Arial"/>
          <w:sz w:val="22"/>
          <w:szCs w:val="22"/>
        </w:rPr>
        <w:t xml:space="preserve">YOUR EDGE: WhatsApp-native, performance pricing, SA-specific (POPIA-compliant), human managed.</w:t>
      </w:r>
    </w:p>
    <w:p>
      <w:pPr>
        <w:spacing w:after="160"/>
      </w:pPr>
      <w:r>
        <w:t xml:space="preserve"/>
      </w:r>
    </w:p>
    <w:p>
      <w:pPr>
        <w:pStyle w:val="Heading2"/>
      </w:pPr>
      <w:r>
        <w:rPr>
          <w:rFonts w:ascii="Arial" w:cs="Arial" w:eastAsia="Arial" w:hAnsi="Arial"/>
          <w:b/>
          <w:bCs/>
          <w:color w:val="1B2A4A"/>
          <w:sz w:val="28"/>
          <w:szCs w:val="28"/>
        </w:rPr>
        <w:t xml:space="preserve">Market Research — Current State (2025/2026)</w:t>
      </w:r>
    </w:p>
    <w:p>
      <w:pPr>
        <w:pStyle w:val="ListParagraph"/>
        <w:numPr>
          <w:ilvl w:val="0"/>
          <w:numId w:val="2"/>
        </w:numPr>
        <w:spacing w:after="80"/>
      </w:pPr>
      <w:r>
        <w:rPr>
          <w:rFonts w:ascii="Arial" w:cs="Arial" w:eastAsia="Arial" w:hAnsi="Arial"/>
          <w:sz w:val="22"/>
          <w:szCs w:val="22"/>
        </w:rPr>
        <w:t xml:space="preserve">Property24 generates 500,000+ monthly leads for SA agents — qualification is a massive bottleneck.</w:t>
      </w:r>
    </w:p>
    <w:p>
      <w:pPr>
        <w:pStyle w:val="ListParagraph"/>
        <w:numPr>
          <w:ilvl w:val="0"/>
          <w:numId w:val="2"/>
        </w:numPr>
        <w:spacing w:after="80"/>
      </w:pPr>
      <w:r>
        <w:rPr>
          <w:rFonts w:ascii="Arial" w:cs="Arial" w:eastAsia="Arial" w:hAnsi="Arial"/>
          <w:sz w:val="22"/>
          <w:szCs w:val="22"/>
        </w:rPr>
        <w:t xml:space="preserve">AI lead scoring tools show 40–60% improvement in sales team conversion rates globally (Salesforce State of Sales, 2024).</w:t>
      </w:r>
    </w:p>
    <w:p>
      <w:pPr>
        <w:pStyle w:val="ListParagraph"/>
        <w:numPr>
          <w:ilvl w:val="0"/>
          <w:numId w:val="2"/>
        </w:numPr>
        <w:spacing w:after="80"/>
      </w:pPr>
      <w:r>
        <w:rPr>
          <w:rFonts w:ascii="Arial" w:cs="Arial" w:eastAsia="Arial" w:hAnsi="Arial"/>
          <w:sz w:val="22"/>
          <w:szCs w:val="22"/>
        </w:rPr>
        <w:t xml:space="preserve">South African contact centre industry is R22 billion — AI is beginning to replace entry-level qualification staff.</w:t>
      </w:r>
    </w:p>
    <w:p>
      <w:pPr>
        <w:pStyle w:val="ListParagraph"/>
        <w:numPr>
          <w:ilvl w:val="0"/>
          <w:numId w:val="2"/>
        </w:numPr>
        <w:spacing w:after="80"/>
      </w:pPr>
      <w:r>
        <w:rPr>
          <w:rFonts w:ascii="Arial" w:cs="Arial" w:eastAsia="Arial" w:hAnsi="Arial"/>
          <w:sz w:val="22"/>
          <w:szCs w:val="22"/>
        </w:rPr>
        <w:t xml:space="preserve">FSCA regulations require compliant communication — build POPIA opt-in and recording compliance into every bot.</w:t>
      </w:r>
    </w:p>
    <w:p>
      <w:pPr>
        <w:spacing w:after="160"/>
      </w:pPr>
      <w:r>
        <w:t xml:space="preserve"/>
      </w:r>
    </w:p>
    <w:p>
      <w:pPr>
        <w:pStyle w:val="Heading2"/>
      </w:pPr>
      <w:r>
        <w:rPr>
          <w:rFonts w:ascii="Arial" w:cs="Arial" w:eastAsia="Arial" w:hAnsi="Arial"/>
          <w:b/>
          <w:bCs/>
          <w:color w:val="1B2A4A"/>
          <w:sz w:val="28"/>
          <w:szCs w:val="28"/>
        </w:rPr>
        <w:t xml:space="preserve">3-Year Financial Projections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715"/>
        <w:gridCol w:w="1715"/>
        <w:gridCol w:w="1715"/>
        <w:gridCol w:w="1715"/>
      </w:tblGrid>
      <w:tr>
        <w:tc>
          <w:tcPr>
            <w:tcW w:type="dxa" w:w="2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1715"/>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Month 1</w:t>
            </w:r>
          </w:p>
        </w:tc>
        <w:tc>
          <w:tcPr>
            <w:tcW w:type="dxa" w:w="1715"/>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Month 3</w:t>
            </w:r>
          </w:p>
        </w:tc>
        <w:tc>
          <w:tcPr>
            <w:tcW w:type="dxa" w:w="1715"/>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Month 6</w:t>
            </w:r>
          </w:p>
        </w:tc>
        <w:tc>
          <w:tcPr>
            <w:tcW w:type="dxa" w:w="1715"/>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Year 1</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Active Clients</w:t>
            </w:r>
          </w:p>
        </w:tc>
        <w:tc>
          <w:tcPr>
            <w:tcW w:type="dxa" w:w="1715"/>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2</w:t>
            </w:r>
          </w:p>
        </w:tc>
        <w:tc>
          <w:tcPr>
            <w:tcW w:type="dxa" w:w="1715"/>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6</w:t>
            </w:r>
          </w:p>
        </w:tc>
        <w:tc>
          <w:tcPr>
            <w:tcW w:type="dxa" w:w="1715"/>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12</w:t>
            </w:r>
          </w:p>
        </w:tc>
        <w:tc>
          <w:tcPr>
            <w:tcW w:type="dxa" w:w="1715"/>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35</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Avg Monthly Revenue/Client</w:t>
            </w:r>
          </w:p>
        </w:tc>
        <w:tc>
          <w:tcPr>
            <w:tcW w:type="dxa" w:w="171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R8,000</w:t>
            </w:r>
          </w:p>
        </w:tc>
        <w:tc>
          <w:tcPr>
            <w:tcW w:type="dxa" w:w="171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R9,000</w:t>
            </w:r>
          </w:p>
        </w:tc>
        <w:tc>
          <w:tcPr>
            <w:tcW w:type="dxa" w:w="171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R10,000</w:t>
            </w:r>
          </w:p>
        </w:tc>
        <w:tc>
          <w:tcPr>
            <w:tcW w:type="dxa" w:w="171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R11,000</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Monthly Revenue (MRR)</w:t>
            </w:r>
          </w:p>
        </w:tc>
        <w:tc>
          <w:tcPr>
            <w:tcW w:type="dxa" w:w="1715"/>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R16,000</w:t>
            </w:r>
          </w:p>
        </w:tc>
        <w:tc>
          <w:tcPr>
            <w:tcW w:type="dxa" w:w="1715"/>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R54,000</w:t>
            </w:r>
          </w:p>
        </w:tc>
        <w:tc>
          <w:tcPr>
            <w:tcW w:type="dxa" w:w="1715"/>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R120,000</w:t>
            </w:r>
          </w:p>
        </w:tc>
        <w:tc>
          <w:tcPr>
            <w:tcW w:type="dxa" w:w="1715"/>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R385,000</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Operating Costs</w:t>
            </w:r>
          </w:p>
        </w:tc>
        <w:tc>
          <w:tcPr>
            <w:tcW w:type="dxa" w:w="171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R8,000</w:t>
            </w:r>
          </w:p>
        </w:tc>
        <w:tc>
          <w:tcPr>
            <w:tcW w:type="dxa" w:w="171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R18,000</w:t>
            </w:r>
          </w:p>
        </w:tc>
        <w:tc>
          <w:tcPr>
            <w:tcW w:type="dxa" w:w="171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R35,000</w:t>
            </w:r>
          </w:p>
        </w:tc>
        <w:tc>
          <w:tcPr>
            <w:tcW w:type="dxa" w:w="171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R80,000</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Net Monthly Profit</w:t>
            </w:r>
          </w:p>
        </w:tc>
        <w:tc>
          <w:tcPr>
            <w:tcW w:type="dxa" w:w="1715"/>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R8,000</w:t>
            </w:r>
          </w:p>
        </w:tc>
        <w:tc>
          <w:tcPr>
            <w:tcW w:type="dxa" w:w="1715"/>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R36,000</w:t>
            </w:r>
          </w:p>
        </w:tc>
        <w:tc>
          <w:tcPr>
            <w:tcW w:type="dxa" w:w="1715"/>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R85,000</w:t>
            </w:r>
          </w:p>
        </w:tc>
        <w:tc>
          <w:tcPr>
            <w:tcW w:type="dxa" w:w="1715"/>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R305,000</w:t>
            </w:r>
          </w:p>
        </w:tc>
      </w:tr>
    </w:tbl>
    <w:p>
      <w:pPr>
        <w:spacing w:after="160"/>
      </w:pPr>
      <w:r>
        <w:t xml:space="preserve"/>
      </w:r>
    </w:p>
    <w:p>
      <w:pPr>
        <w:pStyle w:val="Heading2"/>
      </w:pPr>
      <w:r>
        <w:rPr>
          <w:rFonts w:ascii="Arial" w:cs="Arial" w:eastAsia="Arial" w:hAnsi="Arial"/>
          <w:b/>
          <w:bCs/>
          <w:color w:val="1B2A4A"/>
          <w:sz w:val="28"/>
          <w:szCs w:val="28"/>
        </w:rPr>
        <w:t xml:space="preserve">Risk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120"/>
        <w:gridCol w:w="2120"/>
        <w:gridCol w:w="2000"/>
      </w:tblGrid>
      <w:tr>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2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Probability</w:t>
            </w:r>
          </w:p>
        </w:tc>
        <w:tc>
          <w:tcPr>
            <w:tcW w:type="dxa" w:w="2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Real estate market slowdown reduces leads</w:t>
            </w:r>
          </w:p>
        </w:tc>
        <w:tc>
          <w:tcPr>
            <w:tcW w:type="dxa" w:w="2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Medium</w:t>
            </w:r>
          </w:p>
        </w:tc>
        <w:tc>
          <w:tcPr>
            <w:tcW w:type="dxa" w:w="2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Medium</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Diversify across 4+ industries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Clients demand performance proof before paying</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High</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Low</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Offer 30-day free trial with data</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CRM integration complexity stalls deployments</w:t>
            </w:r>
          </w:p>
        </w:tc>
        <w:tc>
          <w:tcPr>
            <w:tcW w:type="dxa" w:w="2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Medium</w:t>
            </w:r>
          </w:p>
        </w:tc>
        <w:tc>
          <w:tcPr>
            <w:tcW w:type="dxa" w:w="2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High</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Build for top 3 CRMs first (HubSpot, Pipedrive, Salesforce)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Lead data privacy (POPIA)</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Low</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High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Legal consent built into every bot flow</w:t>
            </w:r>
          </w:p>
        </w:tc>
      </w:tr>
    </w:tbl>
    <w:p>
      <w:pPr>
        <w:spacing w:after="160"/>
      </w:pPr>
      <w:r>
        <w:t xml:space="preserve"/>
      </w:r>
    </w:p>
    <w:p>
      <w:pPr>
        <w:pStyle w:val="Heading2"/>
      </w:pPr>
      <w:r>
        <w:rPr>
          <w:rFonts w:ascii="Arial" w:cs="Arial" w:eastAsia="Arial" w:hAnsi="Arial"/>
          <w:b/>
          <w:bCs/>
          <w:color w:val="1B2A4A"/>
          <w:sz w:val="28"/>
          <w:szCs w:val="28"/>
        </w:rPr>
        <w:t xml:space="preserve">90-Day Action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Week</w:t>
            </w:r>
          </w:p>
        </w:tc>
        <w:tc>
          <w:tcPr>
            <w:tcW w:type="dxa" w:w="37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37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Goal</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1–2</w:t>
            </w:r>
          </w:p>
        </w:tc>
        <w:tc>
          <w:tcPr>
            <w:tcW w:type="dxa" w:w="3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Build 1 demo qualification bot for real estate niche</w:t>
            </w:r>
          </w:p>
        </w:tc>
        <w:tc>
          <w:tcPr>
            <w:tcW w:type="dxa" w:w="3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Working demo with lead scoring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3–4</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Reach out to 30 real estate principal brokers on LinkedIn</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Book 8 discovery calls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5–6</w:t>
            </w:r>
          </w:p>
        </w:tc>
        <w:tc>
          <w:tcPr>
            <w:tcW w:type="dxa" w:w="3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Run 2 free pilots, collect data and testimonials</w:t>
            </w:r>
          </w:p>
        </w:tc>
        <w:tc>
          <w:tcPr>
            <w:tcW w:type="dxa" w:w="3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Prove ROI with real numbers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7–8</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Convert pilots to paid, add 1 insurance broker client</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R30,000 MRR</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9–10</w:t>
            </w:r>
          </w:p>
        </w:tc>
        <w:tc>
          <w:tcPr>
            <w:tcW w:type="dxa" w:w="3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Build case study: "Qualified 180 leads, closed 12 deals"</w:t>
            </w:r>
          </w:p>
        </w:tc>
        <w:tc>
          <w:tcPr>
            <w:tcW w:type="dxa" w:w="3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Content marketing engine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11–12</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Hire commission-based sales rep (R2,000 base + 15%)</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Scale acquisition</w:t>
            </w:r>
          </w:p>
        </w:tc>
      </w:tr>
    </w:tbl>
    <w:p>
      <w:pPr>
        <w:spacing w:after="160"/>
      </w:pPr>
      <w:r>
        <w:t xml:space="preserve"/>
      </w:r>
    </w:p>
    <w:p>
      <w:pPr>
        <w:spacing w:before="400"/>
        <w:jc w:val="center"/>
      </w:pPr>
      <w:r>
        <w:rPr>
          <w:rFonts w:ascii="Arial" w:cs="Arial" w:eastAsia="Arial" w:hAnsi="Arial"/>
          <w:b/>
          <w:bCs/>
          <w:color w:val="D4A017"/>
          <w:sz w:val="18"/>
          <w:szCs w:val="18"/>
        </w:rPr>
        <w:t xml:space="preserve">— END OF BUSINESS PLAN: AI LEAD QUALIFICATION BOT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2A4A"/>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1B2A4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2026-04-07T06:56:05.617Z</dcterms:created>
  <dcterms:modified xsi:type="dcterms:W3CDTF">2026-04-07T06:56:05.617Z</dcterms:modified>
</cp:coreProperties>
</file>

<file path=docProps/custom.xml><?xml version="1.0" encoding="utf-8"?>
<Properties xmlns="http://schemas.openxmlformats.org/officeDocument/2006/custom-properties" xmlns:vt="http://schemas.openxmlformats.org/officeDocument/2006/docPropsVTypes"/>
</file>