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400"/>
              <w:left w:type="dxa" w:w="500"/>
              <w:bottom w:type="dxa" w:w="400"/>
              <w:right w:type="dxa" w:w="500"/>
            </w:tcMar>
          </w:tcPr>
          <w:p>
            <w:pPr>
              <w:jc w:val="center"/>
            </w:pPr>
            <w:r>
              <w:rPr>
                <w:rFonts w:ascii="Arial" w:cs="Arial" w:eastAsia="Arial" w:hAnsi="Arial"/>
                <w:b/>
                <w:bCs/>
                <w:color w:val="D4A017"/>
                <w:sz w:val="22"/>
                <w:szCs w:val="22"/>
              </w:rPr>
              <w:t xml:space="preserve">IDEA #11 — PHASE 2 — BUILDING MOMENTUM</w:t>
            </w:r>
          </w:p>
          <w:p>
            <w:pPr>
              <w:spacing w:after="120" w:before="120"/>
              <w:jc w:val="center"/>
            </w:pPr>
            <w:r>
              <w:rPr>
                <w:rFonts w:ascii="Arial" w:cs="Arial" w:eastAsia="Arial" w:hAnsi="Arial"/>
                <w:b/>
                <w:bCs/>
                <w:color w:val="FFFFFF"/>
                <w:sz w:val="44"/>
                <w:szCs w:val="44"/>
              </w:rPr>
              <w:t xml:space="preserve">Vertical AI
Company</w:t>
            </w:r>
          </w:p>
          <w:p>
            <w:pPr>
              <w:jc w:val="center"/>
            </w:pPr>
            <w:r>
              <w:rPr>
                <w:rFonts w:ascii="Arial" w:cs="Arial" w:eastAsia="Arial" w:hAnsi="Arial"/>
                <w:color w:val="DDDDDD"/>
                <w:sz w:val="24"/>
                <w:szCs w:val="24"/>
              </w:rPr>
              <w:t xml:space="preserve">Go deep in one industry. Own it entirely.</w:t>
            </w:r>
          </w:p>
          <w:p>
            <w:pPr>
              <w:spacing w:before="200"/>
              <w:jc w:val="center"/>
            </w:pPr>
            <w:r>
              <w:rPr>
                <w:rFonts w:ascii="Arial" w:cs="Arial" w:eastAsia="Arial" w:hAnsi="Arial"/>
                <w:color w:val="D4A017"/>
                <w:sz w:val="18"/>
                <w:szCs w:val="18"/>
              </w:rPr>
              <w:t xml:space="preserve">HERMIE IHMIG | LEVINN GROUP</w:t>
            </w:r>
          </w:p>
        </w:tc>
      </w:tr>
    </w:tbl>
    <w:p>
      <w:pPr>
        <w:spacing w:after="160"/>
      </w:pPr>
      <w:r>
        <w:t xml:space="preserve"/>
      </w:r>
    </w:p>
    <w:p>
      <w:pPr>
        <w:pStyle w:val="Heading1"/>
      </w:pPr>
      <w:r>
        <w:rPr>
          <w:rFonts w:ascii="Arial" w:cs="Arial" w:eastAsia="Arial" w:hAnsi="Arial"/>
          <w:b/>
          <w:bCs/>
          <w:color w:val="1B2A4A"/>
          <w:sz w:val="36"/>
          <w:szCs w:val="36"/>
        </w:rPr>
        <w:t xml:space="preserve">11. Vertical AI Company</w:t>
      </w:r>
    </w:p>
    <w:p>
      <w:pPr>
        <w:pBdr>
          <w:bottom w:val="single" w:color="D4A017" w:sz="2"/>
        </w:pBdr>
        <w:spacing w:after="200" w:before="200"/>
      </w:pPr>
      <w:r>
        <w:t xml:space="preserve"/>
      </w:r>
    </w:p>
    <w:p>
      <w:pPr>
        <w:pStyle w:val="Heading2"/>
      </w:pPr>
      <w:r>
        <w:rPr>
          <w:rFonts w:ascii="Arial" w:cs="Arial" w:eastAsia="Arial" w:hAnsi="Arial"/>
          <w:b/>
          <w:bCs/>
          <w:color w:val="1B2A4A"/>
          <w:sz w:val="28"/>
          <w:szCs w:val="28"/>
        </w:rPr>
        <w:t xml:space="preserve">Executive Summary</w:t>
      </w:r>
    </w:p>
    <w:p>
      <w:pPr>
        <w:spacing w:after="120"/>
      </w:pPr>
      <w:r>
        <w:rPr>
          <w:rFonts w:ascii="Arial" w:cs="Arial" w:eastAsia="Arial" w:hAnsi="Arial"/>
          <w:sz w:val="22"/>
          <w:szCs w:val="22"/>
        </w:rPr>
        <w:t xml:space="preserve">The most defensible AI businesses are those that own a single vertical so completely that competitors cannot displace them. A Vertical AI Company picks ONE industry — construction, agriculture, legal, healthcare, logistics — and builds every AI workflow, tool, and service that industry needs. You go so deep that switching costs become enormous. In SA, most industries are underserved by AI, and local compliance knowledge (NHBRC, SARS, FSCA, etc.) creates a natural moat. Target: R500K–R2M MRR within 3 years in a single vertical.</w:t>
      </w:r>
    </w:p>
    <w:p>
      <w:pPr>
        <w:spacing w:after="160"/>
      </w:pPr>
      <w:r>
        <w:t xml:space="preserve"/>
      </w:r>
    </w:p>
    <w:p>
      <w:pPr>
        <w:pStyle w:val="Heading2"/>
      </w:pPr>
      <w:r>
        <w:rPr>
          <w:rFonts w:ascii="Arial" w:cs="Arial" w:eastAsia="Arial" w:hAnsi="Arial"/>
          <w:b/>
          <w:bCs/>
          <w:color w:val="1B2A4A"/>
          <w:sz w:val="28"/>
          <w:szCs w:val="28"/>
        </w:rPr>
        <w:t xml:space="preserve">How to Pick Your Vertical</w:t>
      </w:r>
    </w:p>
    <w:p>
      <w:pPr>
        <w:pStyle w:val="ListParagraph"/>
        <w:numPr>
          <w:ilvl w:val="0"/>
          <w:numId w:val="2"/>
        </w:numPr>
        <w:spacing w:after="80"/>
      </w:pPr>
      <w:r>
        <w:rPr>
          <w:rFonts w:ascii="Arial" w:cs="Arial" w:eastAsia="Arial" w:hAnsi="Arial"/>
          <w:sz w:val="22"/>
          <w:szCs w:val="22"/>
        </w:rPr>
        <w:t xml:space="preserve">High transaction value: Construction (R500B market), agriculture (R120B), commercial property (R80B)</w:t>
      </w:r>
    </w:p>
    <w:p>
      <w:pPr>
        <w:pStyle w:val="ListParagraph"/>
        <w:numPr>
          <w:ilvl w:val="0"/>
          <w:numId w:val="2"/>
        </w:numPr>
        <w:spacing w:after="80"/>
      </w:pPr>
      <w:r>
        <w:rPr>
          <w:rFonts w:ascii="Arial" w:cs="Arial" w:eastAsia="Arial" w:hAnsi="Arial"/>
          <w:sz w:val="22"/>
          <w:szCs w:val="22"/>
        </w:rPr>
        <w:t xml:space="preserve">Manual-heavy operations: Logistics, manufacturing, professional services</w:t>
      </w:r>
    </w:p>
    <w:p>
      <w:pPr>
        <w:pStyle w:val="ListParagraph"/>
        <w:numPr>
          <w:ilvl w:val="0"/>
          <w:numId w:val="2"/>
        </w:numPr>
        <w:spacing w:after="80"/>
      </w:pPr>
      <w:r>
        <w:rPr>
          <w:rFonts w:ascii="Arial" w:cs="Arial" w:eastAsia="Arial" w:hAnsi="Arial"/>
          <w:sz w:val="22"/>
          <w:szCs w:val="22"/>
        </w:rPr>
        <w:t xml:space="preserve">Regulatory complexity: Legal, financial services, healthcare — compliance = moat</w:t>
      </w:r>
    </w:p>
    <w:p>
      <w:pPr>
        <w:pStyle w:val="ListParagraph"/>
        <w:numPr>
          <w:ilvl w:val="0"/>
          <w:numId w:val="2"/>
        </w:numPr>
        <w:spacing w:after="80"/>
      </w:pPr>
      <w:r>
        <w:rPr>
          <w:rFonts w:ascii="Arial" w:cs="Arial" w:eastAsia="Arial" w:hAnsi="Arial"/>
          <w:sz w:val="22"/>
          <w:szCs w:val="22"/>
        </w:rPr>
        <w:t xml:space="preserve">Your existing relationships: What industry do you or Levinn already serve?</w:t>
      </w:r>
    </w:p>
    <w:p>
      <w:pPr>
        <w:pStyle w:val="ListParagraph"/>
        <w:numPr>
          <w:ilvl w:val="0"/>
          <w:numId w:val="2"/>
        </w:numPr>
        <w:spacing w:after="80"/>
      </w:pPr>
      <w:r>
        <w:rPr>
          <w:rFonts w:ascii="Arial" w:cs="Arial" w:eastAsia="Arial" w:hAnsi="Arial"/>
          <w:sz w:val="22"/>
          <w:szCs w:val="22"/>
        </w:rPr>
        <w:t xml:space="preserve">RECOMMENDATION for Hermie: Construction / PPE supply chain vertical — Levinn already has relationships here.</w:t>
      </w:r>
    </w:p>
    <w:p>
      <w:pPr>
        <w:spacing w:after="160"/>
      </w:pPr>
      <w:r>
        <w:t xml:space="preserve"/>
      </w:r>
    </w:p>
    <w:p>
      <w:pPr>
        <w:pStyle w:val="Heading2"/>
      </w:pPr>
      <w:r>
        <w:rPr>
          <w:rFonts w:ascii="Arial" w:cs="Arial" w:eastAsia="Arial" w:hAnsi="Arial"/>
          <w:b/>
          <w:bCs/>
          <w:color w:val="1B2A4A"/>
          <w:sz w:val="28"/>
          <w:szCs w:val="28"/>
        </w:rPr>
        <w:t xml:space="preserve">Example: AI Company for SA Construction Industry</w:t>
      </w:r>
    </w:p>
    <w:p>
      <w:pPr>
        <w:spacing w:after="100" w:before="200"/>
      </w:pPr>
      <w:r>
        <w:rPr>
          <w:rFonts w:ascii="Arial" w:cs="Arial" w:eastAsia="Arial" w:hAnsi="Arial"/>
          <w:b/>
          <w:bCs/>
          <w:color w:val="1A56A0"/>
          <w:sz w:val="24"/>
          <w:szCs w:val="24"/>
        </w:rPr>
        <w:t xml:space="preserve">Products to Build</w:t>
      </w:r>
    </w:p>
    <w:p>
      <w:pPr>
        <w:pStyle w:val="ListParagraph"/>
        <w:numPr>
          <w:ilvl w:val="0"/>
          <w:numId w:val="2"/>
        </w:numPr>
        <w:spacing w:after="80"/>
      </w:pPr>
      <w:r>
        <w:rPr>
          <w:rFonts w:ascii="Arial" w:cs="Arial" w:eastAsia="Arial" w:hAnsi="Arial"/>
          <w:sz w:val="22"/>
          <w:szCs w:val="22"/>
        </w:rPr>
        <w:t xml:space="preserve">Tender AI: Scans SAGovt tenders, scores fit, drafts CIDB-compliant submissions — saves 40 hours/tender</w:t>
      </w:r>
    </w:p>
    <w:p>
      <w:pPr>
        <w:pStyle w:val="ListParagraph"/>
        <w:numPr>
          <w:ilvl w:val="0"/>
          <w:numId w:val="2"/>
        </w:numPr>
        <w:spacing w:after="80"/>
      </w:pPr>
      <w:r>
        <w:rPr>
          <w:rFonts w:ascii="Arial" w:cs="Arial" w:eastAsia="Arial" w:hAnsi="Arial"/>
          <w:sz w:val="22"/>
          <w:szCs w:val="22"/>
        </w:rPr>
        <w:t xml:space="preserve">Site Safety AI: Auto-generates OHS files, manages incidents, sends COIDA-compliant reports</w:t>
      </w:r>
    </w:p>
    <w:p>
      <w:pPr>
        <w:pStyle w:val="ListParagraph"/>
        <w:numPr>
          <w:ilvl w:val="0"/>
          <w:numId w:val="2"/>
        </w:numPr>
        <w:spacing w:after="80"/>
      </w:pPr>
      <w:r>
        <w:rPr>
          <w:rFonts w:ascii="Arial" w:cs="Arial" w:eastAsia="Arial" w:hAnsi="Arial"/>
          <w:sz w:val="22"/>
          <w:szCs w:val="22"/>
        </w:rPr>
        <w:t xml:space="preserve">Subcontractor WhatsApp bot: Updates site managers on delivery ETA, flags delays</w:t>
      </w:r>
    </w:p>
    <w:p>
      <w:pPr>
        <w:pStyle w:val="ListParagraph"/>
        <w:numPr>
          <w:ilvl w:val="0"/>
          <w:numId w:val="2"/>
        </w:numPr>
        <w:spacing w:after="80"/>
      </w:pPr>
      <w:r>
        <w:rPr>
          <w:rFonts w:ascii="Arial" w:cs="Arial" w:eastAsia="Arial" w:hAnsi="Arial"/>
          <w:sz w:val="22"/>
          <w:szCs w:val="22"/>
        </w:rPr>
        <w:t xml:space="preserve">NHBRC compliance checker: Upload drawings → AI checks compliance → flags issues before submission</w:t>
      </w:r>
    </w:p>
    <w:p>
      <w:pPr>
        <w:pStyle w:val="ListParagraph"/>
        <w:numPr>
          <w:ilvl w:val="0"/>
          <w:numId w:val="2"/>
        </w:numPr>
        <w:spacing w:after="80"/>
      </w:pPr>
      <w:r>
        <w:rPr>
          <w:rFonts w:ascii="Arial" w:cs="Arial" w:eastAsia="Arial" w:hAnsi="Arial"/>
          <w:sz w:val="22"/>
          <w:szCs w:val="22"/>
        </w:rPr>
        <w:t xml:space="preserve">Cost estimator AI: Input specs → AI generates bill of quantities estimate using current RS Means SA rates</w:t>
      </w:r>
    </w:p>
    <w:p>
      <w:pPr>
        <w:spacing w:after="160"/>
      </w:pPr>
      <w:r>
        <w:t xml:space="preserve"/>
      </w:r>
    </w:p>
    <w:p>
      <w:pPr>
        <w:pStyle w:val="Heading2"/>
      </w:pPr>
      <w:r>
        <w:rPr>
          <w:rFonts w:ascii="Arial" w:cs="Arial" w:eastAsia="Arial" w:hAnsi="Arial"/>
          <w:b/>
          <w:bCs/>
          <w:color w:val="1B2A4A"/>
          <w:sz w:val="28"/>
          <w:szCs w:val="28"/>
        </w:rPr>
        <w:t xml:space="preserve">Business Model Canvas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CANVAS ELEMENT</w:t>
            </w:r>
          </w:p>
        </w:tc>
        <w:tc>
          <w:tcPr>
            <w:tcW w:type="dxa" w:w="4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00000"/>
                <w:sz w:val="20"/>
                <w:szCs w:val="20"/>
              </w:rPr>
              <w:t xml:space="preserve">Value Proposition</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All-in-one AI operations platform for SA construction companies</w:t>
            </w:r>
          </w:p>
        </w:tc>
      </w:tr>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00000"/>
                <w:sz w:val="20"/>
                <w:szCs w:val="20"/>
              </w:rPr>
              <w:t xml:space="preserve">Customer Segments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Construction companies R5M–R500M turnover, quantity surveyors, project managers</w:t>
            </w:r>
          </w:p>
        </w:tc>
      </w:tr>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00000"/>
                <w:sz w:val="20"/>
                <w:szCs w:val="20"/>
              </w:rPr>
              <w:t xml:space="preserve">Channels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ASAQS/MBA SA events, LinkedIn, CIDB tender network</w:t>
            </w:r>
          </w:p>
        </w:tc>
      </w:tr>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00000"/>
                <w:sz w:val="20"/>
                <w:szCs w:val="20"/>
              </w:rPr>
              <w:t xml:space="preserve">Revenue Streams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R15,000–R80,000/month per company + per-tender fees</w:t>
            </w:r>
          </w:p>
        </w:tc>
      </w:tr>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00000"/>
                <w:sz w:val="20"/>
                <w:szCs w:val="20"/>
              </w:rPr>
              <w:t xml:space="preserve">Key Resources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CIDB database, NHBRC APIs, OHS templates, construction AI training data</w:t>
            </w:r>
          </w:p>
        </w:tc>
      </w:tr>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00000"/>
                <w:sz w:val="20"/>
                <w:szCs w:val="20"/>
              </w:rPr>
              <w:t xml:space="preserve">Key Activities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Regulatory updates, AI training, compliance monitoring, client success</w:t>
            </w:r>
          </w:p>
        </w:tc>
      </w:tr>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00000"/>
                <w:sz w:val="20"/>
                <w:szCs w:val="20"/>
              </w:rPr>
              <w:t xml:space="preserve">Key Partners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NHBRC, CIDB, Master Builders SA, ASAQS</w:t>
            </w:r>
          </w:p>
        </w:tc>
      </w:tr>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00000"/>
                <w:sz w:val="20"/>
                <w:szCs w:val="20"/>
              </w:rPr>
              <w:t xml:space="preserve">Cost Structure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Development R80,000 (Y1), staff R60,000/month at scale</w:t>
            </w:r>
          </w:p>
        </w:tc>
      </w:tr>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00000"/>
                <w:sz w:val="20"/>
                <w:szCs w:val="20"/>
              </w:rPr>
              <w:t xml:space="preserve">Unfair Advantage</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SA regulatory depth + industry network + first-mover advantage</w:t>
            </w:r>
          </w:p>
        </w:tc>
      </w:tr>
    </w:tbl>
    <w:p>
      <w:pPr>
        <w:spacing w:after="160"/>
      </w:pPr>
      <w:r>
        <w:t xml:space="preserve"/>
      </w:r>
    </w:p>
    <w:p>
      <w:pPr>
        <w:pStyle w:val="Heading2"/>
      </w:pPr>
      <w:r>
        <w:rPr>
          <w:rFonts w:ascii="Arial" w:cs="Arial" w:eastAsia="Arial" w:hAnsi="Arial"/>
          <w:b/>
          <w:bCs/>
          <w:color w:val="1B2A4A"/>
          <w:sz w:val="28"/>
          <w:szCs w:val="28"/>
        </w:rPr>
        <w:t xml:space="preserve">3-Year Financial Projections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715"/>
        <w:gridCol w:w="1715"/>
        <w:gridCol w:w="1715"/>
        <w:gridCol w:w="1715"/>
      </w:tblGrid>
      <w:tr>
        <w:tc>
          <w:tcPr>
            <w:tcW w:type="dxa" w:w="2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1715"/>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Month 1</w:t>
            </w:r>
          </w:p>
        </w:tc>
        <w:tc>
          <w:tcPr>
            <w:tcW w:type="dxa" w:w="1715"/>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Month 3</w:t>
            </w:r>
          </w:p>
        </w:tc>
        <w:tc>
          <w:tcPr>
            <w:tcW w:type="dxa" w:w="1715"/>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Month 6</w:t>
            </w:r>
          </w:p>
        </w:tc>
        <w:tc>
          <w:tcPr>
            <w:tcW w:type="dxa" w:w="1715"/>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Year 1</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Clients (companies)</w:t>
            </w:r>
          </w:p>
        </w:tc>
        <w:tc>
          <w:tcPr>
            <w:tcW w:type="dxa" w:w="1715"/>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3</w:t>
            </w:r>
          </w:p>
        </w:tc>
        <w:tc>
          <w:tcPr>
            <w:tcW w:type="dxa" w:w="1715"/>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10</w:t>
            </w:r>
          </w:p>
        </w:tc>
        <w:tc>
          <w:tcPr>
            <w:tcW w:type="dxa" w:w="1715"/>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25</w:t>
            </w:r>
          </w:p>
        </w:tc>
        <w:tc>
          <w:tcPr>
            <w:tcW w:type="dxa" w:w="1715"/>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80</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Avg Monthly Revenue</w:t>
            </w:r>
          </w:p>
        </w:tc>
        <w:tc>
          <w:tcPr>
            <w:tcW w:type="dxa" w:w="171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R20,000</w:t>
            </w:r>
          </w:p>
        </w:tc>
        <w:tc>
          <w:tcPr>
            <w:tcW w:type="dxa" w:w="171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R30,000</w:t>
            </w:r>
          </w:p>
        </w:tc>
        <w:tc>
          <w:tcPr>
            <w:tcW w:type="dxa" w:w="171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R40,000</w:t>
            </w:r>
          </w:p>
        </w:tc>
        <w:tc>
          <w:tcPr>
            <w:tcW w:type="dxa" w:w="171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R50,000</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Monthly Revenue (MRR)</w:t>
            </w:r>
          </w:p>
        </w:tc>
        <w:tc>
          <w:tcPr>
            <w:tcW w:type="dxa" w:w="1715"/>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R60,000</w:t>
            </w:r>
          </w:p>
        </w:tc>
        <w:tc>
          <w:tcPr>
            <w:tcW w:type="dxa" w:w="1715"/>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R300,000</w:t>
            </w:r>
          </w:p>
        </w:tc>
        <w:tc>
          <w:tcPr>
            <w:tcW w:type="dxa" w:w="1715"/>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R1,000,000</w:t>
            </w:r>
          </w:p>
        </w:tc>
        <w:tc>
          <w:tcPr>
            <w:tcW w:type="dxa" w:w="1715"/>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R4,000,000</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Costs (team + tech)</w:t>
            </w:r>
          </w:p>
        </w:tc>
        <w:tc>
          <w:tcPr>
            <w:tcW w:type="dxa" w:w="171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R40,000</w:t>
            </w:r>
          </w:p>
        </w:tc>
        <w:tc>
          <w:tcPr>
            <w:tcW w:type="dxa" w:w="171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R150,000</w:t>
            </w:r>
          </w:p>
        </w:tc>
        <w:tc>
          <w:tcPr>
            <w:tcW w:type="dxa" w:w="171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R400,000</w:t>
            </w:r>
          </w:p>
        </w:tc>
        <w:tc>
          <w:tcPr>
            <w:tcW w:type="dxa" w:w="171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R1,500,000</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Net Monthly Profit</w:t>
            </w:r>
          </w:p>
        </w:tc>
        <w:tc>
          <w:tcPr>
            <w:tcW w:type="dxa" w:w="1715"/>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R20,000</w:t>
            </w:r>
          </w:p>
        </w:tc>
        <w:tc>
          <w:tcPr>
            <w:tcW w:type="dxa" w:w="1715"/>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R150,000</w:t>
            </w:r>
          </w:p>
        </w:tc>
        <w:tc>
          <w:tcPr>
            <w:tcW w:type="dxa" w:w="1715"/>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R600,000</w:t>
            </w:r>
          </w:p>
        </w:tc>
        <w:tc>
          <w:tcPr>
            <w:tcW w:type="dxa" w:w="1715"/>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R2,500,000</w:t>
            </w:r>
          </w:p>
        </w:tc>
      </w:tr>
    </w:tbl>
    <w:p>
      <w:pPr>
        <w:spacing w:after="160"/>
      </w:pPr>
      <w:r>
        <w:t xml:space="preserve"/>
      </w:r>
    </w:p>
    <w:p>
      <w:pPr>
        <w:pStyle w:val="Heading2"/>
      </w:pPr>
      <w:r>
        <w:rPr>
          <w:rFonts w:ascii="Arial" w:cs="Arial" w:eastAsia="Arial" w:hAnsi="Arial"/>
          <w:b/>
          <w:bCs/>
          <w:color w:val="1B2A4A"/>
          <w:sz w:val="28"/>
          <w:szCs w:val="28"/>
        </w:rPr>
        <w:t xml:space="preserve">Risk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120"/>
        <w:gridCol w:w="2120"/>
        <w:gridCol w:w="2000"/>
      </w:tblGrid>
      <w:tr>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2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Probability</w:t>
            </w:r>
          </w:p>
        </w:tc>
        <w:tc>
          <w:tcPr>
            <w:tcW w:type="dxa" w:w="2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Construction market downturn</w:t>
            </w:r>
          </w:p>
        </w:tc>
        <w:tc>
          <w:tcPr>
            <w:tcW w:type="dxa" w:w="2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Medium</w:t>
            </w:r>
          </w:p>
        </w:tc>
        <w:tc>
          <w:tcPr>
            <w:tcW w:type="dxa" w:w="2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Medium</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Serve multiple project types: private+government+infrastructure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Regulatory changes invalidate workflows</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Medium</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High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Dedicated compliance monitoring role from Day 1</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Large enterprise software (e.g., Procore) enters SA</w:t>
            </w:r>
          </w:p>
        </w:tc>
        <w:tc>
          <w:tcPr>
            <w:tcW w:type="dxa" w:w="2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Low</w:t>
            </w:r>
          </w:p>
        </w:tc>
        <w:tc>
          <w:tcPr>
            <w:tcW w:type="dxa" w:w="2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High</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Build SA-specific compliance depth they cannot match quickly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Long sales cycle (6–12 months)</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High</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Medium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Start with smaller contractors, use them as reference sites</w:t>
            </w:r>
          </w:p>
        </w:tc>
      </w:tr>
    </w:tbl>
    <w:p>
      <w:pPr>
        <w:spacing w:after="160"/>
      </w:pPr>
      <w:r>
        <w:t xml:space="preserve"/>
      </w:r>
    </w:p>
    <w:p>
      <w:pPr>
        <w:pStyle w:val="Heading2"/>
      </w:pPr>
      <w:r>
        <w:rPr>
          <w:rFonts w:ascii="Arial" w:cs="Arial" w:eastAsia="Arial" w:hAnsi="Arial"/>
          <w:b/>
          <w:bCs/>
          <w:color w:val="1B2A4A"/>
          <w:sz w:val="28"/>
          <w:szCs w:val="28"/>
        </w:rPr>
        <w:t xml:space="preserve">90-Day Action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Week</w:t>
            </w:r>
          </w:p>
        </w:tc>
        <w:tc>
          <w:tcPr>
            <w:tcW w:type="dxa" w:w="37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37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Goal</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1–4</w:t>
            </w:r>
          </w:p>
        </w:tc>
        <w:tc>
          <w:tcPr>
            <w:tcW w:type="dxa" w:w="3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Choose vertical. Map top 5 workflows. Talk to 10 companies.</w:t>
            </w:r>
          </w:p>
        </w:tc>
        <w:tc>
          <w:tcPr>
            <w:tcW w:type="dxa" w:w="3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Validated problem list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5–8</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Build Tender AI MVP using Lovable.dev + OpenAI</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Working demo product</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9–10</w:t>
            </w:r>
          </w:p>
        </w:tc>
        <w:tc>
          <w:tcPr>
            <w:tcW w:type="dxa" w:w="3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Pilot with 2 construction companies free</w:t>
            </w:r>
          </w:p>
        </w:tc>
        <w:tc>
          <w:tcPr>
            <w:tcW w:type="dxa" w:w="3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Case study data</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11–12</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Convert to paid R15,000/month; publish results</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R30,000 MRR</w:t>
            </w:r>
          </w:p>
        </w:tc>
      </w:tr>
    </w:tbl>
    <w:p>
      <w:pPr>
        <w:spacing w:after="160"/>
      </w:pPr>
      <w:r>
        <w:t xml:space="preserve"/>
      </w:r>
    </w:p>
    <w:p>
      <w:pPr>
        <w:spacing w:before="400"/>
        <w:jc w:val="center"/>
      </w:pPr>
      <w:r>
        <w:rPr>
          <w:rFonts w:ascii="Arial" w:cs="Arial" w:eastAsia="Arial" w:hAnsi="Arial"/>
          <w:b/>
          <w:bCs/>
          <w:color w:val="D4A017"/>
          <w:sz w:val="18"/>
          <w:szCs w:val="18"/>
        </w:rPr>
        <w:t xml:space="preserve">— END OF BUSINESS PLAN: VERTICAL AI COMPANY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2A4A"/>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B2A4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2026-04-07T07:03:41.445Z</dcterms:created>
  <dcterms:modified xsi:type="dcterms:W3CDTF">2026-04-07T07:03:41.446Z</dcterms:modified>
</cp:coreProperties>
</file>

<file path=docProps/custom.xml><?xml version="1.0" encoding="utf-8"?>
<Properties xmlns="http://schemas.openxmlformats.org/officeDocument/2006/custom-properties" xmlns:vt="http://schemas.openxmlformats.org/officeDocument/2006/docPropsVTypes"/>
</file>