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500"/>
              <w:bottom w:type="dxa" w:w="400"/>
              <w:right w:type="dxa" w:w="500"/>
            </w:tcMar>
          </w:tcPr>
          <w:p>
            <w:pPr>
              <w:jc w:val="center"/>
            </w:pPr>
            <w:r>
              <w:rPr>
                <w:rFonts w:ascii="Arial" w:cs="Arial" w:eastAsia="Arial" w:hAnsi="Arial"/>
                <w:b/>
                <w:bCs/>
                <w:color w:val="D4A017"/>
                <w:sz w:val="22"/>
                <w:szCs w:val="22"/>
              </w:rPr>
              <w:t xml:space="preserve">IDEA #19 — PHASE 3 — FUTURE PLAYS</w:t>
            </w:r>
          </w:p>
          <w:p>
            <w:pPr>
              <w:spacing w:after="120" w:before="120"/>
              <w:jc w:val="center"/>
            </w:pPr>
            <w:r>
              <w:rPr>
                <w:rFonts w:ascii="Arial" w:cs="Arial" w:eastAsia="Arial" w:hAnsi="Arial"/>
                <w:b/>
                <w:bCs/>
                <w:color w:val="FFFFFF"/>
                <w:sz w:val="40"/>
                <w:szCs w:val="40"/>
              </w:rPr>
              <w:t xml:space="preserve">Glassdoor for
AI Agents</w:t>
            </w:r>
          </w:p>
          <w:p>
            <w:pPr>
              <w:jc w:val="center"/>
            </w:pPr>
            <w:r>
              <w:rPr>
                <w:rFonts w:ascii="Arial" w:cs="Arial" w:eastAsia="Arial" w:hAnsi="Arial"/>
                <w:color w:val="DDDDDD"/>
                <w:sz w:val="22"/>
                <w:szCs w:val="22"/>
              </w:rPr>
              <w:t xml:space="preserve">The trusted review platform for evaluating, rating, and comparing AI agents.</w:t>
            </w:r>
          </w:p>
          <w:p>
            <w:pPr>
              <w:spacing w:before="200"/>
              <w:jc w:val="center"/>
            </w:pPr>
            <w:r>
              <w:rPr>
                <w:rFonts w:ascii="Arial" w:cs="Arial" w:eastAsia="Arial" w:hAnsi="Arial"/>
                <w:color w:val="D4A017"/>
                <w:sz w:val="18"/>
                <w:szCs w:val="18"/>
              </w:rPr>
              <w:t xml:space="preserve">HERMIE IHMIG | LEVINN GROUP</w:t>
            </w:r>
          </w:p>
        </w:tc>
      </w:tr>
    </w:tbl>
    <w:p>
      <w:pPr>
        <w:spacing w:after="160"/>
      </w:pPr>
      <w:r>
        <w:t xml:space="preserve"/>
      </w:r>
    </w:p>
    <w:p>
      <w:pPr>
        <w:pStyle w:val="Heading1"/>
      </w:pPr>
      <w:r>
        <w:rPr>
          <w:rFonts w:ascii="Arial" w:cs="Arial" w:eastAsia="Arial" w:hAnsi="Arial"/>
          <w:b/>
          <w:bCs/>
          <w:color w:val="1B2A4A"/>
          <w:sz w:val="36"/>
          <w:szCs w:val="36"/>
        </w:rPr>
        <w:t xml:space="preserve">19. Glassdoor for AI Agents</w:t>
      </w:r>
    </w:p>
    <w:p>
      <w:pPr>
        <w:pBdr>
          <w:bottom w:val="single" w:color="D4A017" w:sz="2"/>
        </w:pBdr>
        <w:spacing w:after="200" w:before="200"/>
      </w:pPr>
      <w:r>
        <w:t xml:space="preserve"/>
      </w:r>
    </w:p>
    <w:p>
      <w:pPr>
        <w:pStyle w:val="Heading2"/>
      </w:pPr>
      <w:r>
        <w:rPr>
          <w:rFonts w:ascii="Arial" w:cs="Arial" w:eastAsia="Arial" w:hAnsi="Arial"/>
          <w:b/>
          <w:bCs/>
          <w:color w:val="1B2A4A"/>
          <w:sz w:val="28"/>
          <w:szCs w:val="28"/>
        </w:rPr>
        <w:t xml:space="preserve">Executive Summary</w:t>
      </w:r>
    </w:p>
    <w:p>
      <w:pPr>
        <w:spacing w:after="120"/>
      </w:pPr>
      <w:r>
        <w:rPr>
          <w:rFonts w:ascii="Arial" w:cs="Arial" w:eastAsia="Arial" w:hAnsi="Arial"/>
          <w:sz w:val="22"/>
          <w:szCs w:val="22"/>
        </w:rPr>
        <w:t xml:space="preserve">As autonomous AI agents proliferate, businesses face a critical problem: which agents can they trust? Just as Glassdoor transformed hiring by making company culture transparent, "Glassdoor for AI Agents" becomes the authoritative source for AI agent reviews, performance benchmarks, reliability scores, and compliance ratings. Businesses use it to evaluate agents before deploying them. Developers use it to improve their agents. Enterprises use it for vendor due diligence. This is a 2–5 year build that becomes increasingly valuable as the agent economy grows.</w:t>
      </w:r>
    </w:p>
    <w:p>
      <w:pPr>
        <w:spacing w:after="160"/>
      </w:pPr>
      <w:r>
        <w:t xml:space="preserve"/>
      </w:r>
    </w:p>
    <w:p>
      <w:pPr>
        <w:pStyle w:val="Heading2"/>
      </w:pPr>
      <w:r>
        <w:rPr>
          <w:rFonts w:ascii="Arial" w:cs="Arial" w:eastAsia="Arial" w:hAnsi="Arial"/>
          <w:b/>
          <w:bCs/>
          <w:color w:val="1B2A4A"/>
          <w:sz w:val="28"/>
          <w:szCs w:val="28"/>
        </w:rPr>
        <w:t xml:space="preserve">The Problem</w:t>
      </w:r>
    </w:p>
    <w:p>
      <w:pPr>
        <w:pStyle w:val="ListParagraph"/>
        <w:numPr>
          <w:ilvl w:val="0"/>
          <w:numId w:val="2"/>
        </w:numPr>
        <w:spacing w:after="80"/>
      </w:pPr>
      <w:r>
        <w:rPr>
          <w:rFonts w:ascii="Arial" w:cs="Arial" w:eastAsia="Arial" w:hAnsi="Arial"/>
          <w:sz w:val="22"/>
          <w:szCs w:val="22"/>
        </w:rPr>
        <w:t xml:space="preserve">By 2026, there will be 500,000+ publicly available AI agents — no quality standard exists.</w:t>
      </w:r>
    </w:p>
    <w:p>
      <w:pPr>
        <w:pStyle w:val="ListParagraph"/>
        <w:numPr>
          <w:ilvl w:val="0"/>
          <w:numId w:val="2"/>
        </w:numPr>
        <w:spacing w:after="80"/>
      </w:pPr>
      <w:r>
        <w:rPr>
          <w:rFonts w:ascii="Arial" w:cs="Arial" w:eastAsia="Arial" w:hAnsi="Arial"/>
          <w:sz w:val="22"/>
          <w:szCs w:val="22"/>
        </w:rPr>
        <w:t xml:space="preserve">Businesses deploying agents have no way to vet reliability, accuracy, security, or compliance.</w:t>
      </w:r>
    </w:p>
    <w:p>
      <w:pPr>
        <w:pStyle w:val="ListParagraph"/>
        <w:numPr>
          <w:ilvl w:val="0"/>
          <w:numId w:val="2"/>
        </w:numPr>
        <w:spacing w:after="80"/>
      </w:pPr>
      <w:r>
        <w:rPr>
          <w:rFonts w:ascii="Arial" w:cs="Arial" w:eastAsia="Arial" w:hAnsi="Arial"/>
          <w:sz w:val="22"/>
          <w:szCs w:val="22"/>
        </w:rPr>
        <w:t xml:space="preserve">AI agent failures are costly — a bad agent can send wrong emails, delete data, or cause compliance violations.</w:t>
      </w:r>
    </w:p>
    <w:p>
      <w:pPr>
        <w:pStyle w:val="ListParagraph"/>
        <w:numPr>
          <w:ilvl w:val="0"/>
          <w:numId w:val="2"/>
        </w:numPr>
        <w:spacing w:after="80"/>
      </w:pPr>
      <w:r>
        <w:rPr>
          <w:rFonts w:ascii="Arial" w:cs="Arial" w:eastAsia="Arial" w:hAnsi="Arial"/>
          <w:sz w:val="22"/>
          <w:szCs w:val="22"/>
        </w:rPr>
        <w:t xml:space="preserve">Developers have no neutral platform to showcase their agents and build credibility.</w:t>
      </w:r>
    </w:p>
    <w:p>
      <w:pPr>
        <w:spacing w:after="160"/>
      </w:pPr>
      <w:r>
        <w:t xml:space="preserve"/>
      </w:r>
    </w:p>
    <w:p>
      <w:pPr>
        <w:pStyle w:val="Heading2"/>
      </w:pPr>
      <w:r>
        <w:rPr>
          <w:rFonts w:ascii="Arial" w:cs="Arial" w:eastAsia="Arial" w:hAnsi="Arial"/>
          <w:b/>
          <w:bCs/>
          <w:color w:val="1B2A4A"/>
          <w:sz w:val="28"/>
          <w:szCs w:val="28"/>
        </w:rPr>
        <w:t xml:space="preserve">Platform Features</w:t>
      </w:r>
    </w:p>
    <w:p>
      <w:pPr>
        <w:pStyle w:val="ListParagraph"/>
        <w:numPr>
          <w:ilvl w:val="0"/>
          <w:numId w:val="2"/>
        </w:numPr>
        <w:spacing w:after="80"/>
      </w:pPr>
      <w:r>
        <w:rPr>
          <w:rFonts w:ascii="Arial" w:cs="Arial" w:eastAsia="Arial" w:hAnsi="Arial"/>
          <w:sz w:val="22"/>
          <w:szCs w:val="22"/>
        </w:rPr>
        <w:t xml:space="preserve">Agent Profiles: Verified developer, use cases, tech stack, pricing, integrations</w:t>
      </w:r>
    </w:p>
    <w:p>
      <w:pPr>
        <w:pStyle w:val="ListParagraph"/>
        <w:numPr>
          <w:ilvl w:val="0"/>
          <w:numId w:val="2"/>
        </w:numPr>
        <w:spacing w:after="80"/>
      </w:pPr>
      <w:r>
        <w:rPr>
          <w:rFonts w:ascii="Arial" w:cs="Arial" w:eastAsia="Arial" w:hAnsi="Arial"/>
          <w:sz w:val="22"/>
          <w:szCs w:val="22"/>
        </w:rPr>
        <w:t xml:space="preserve">Performance Benchmarks: Accuracy scores, speed, uptime, error rates — tested independently</w:t>
      </w:r>
    </w:p>
    <w:p>
      <w:pPr>
        <w:pStyle w:val="ListParagraph"/>
        <w:numPr>
          <w:ilvl w:val="0"/>
          <w:numId w:val="2"/>
        </w:numPr>
        <w:spacing w:after="80"/>
      </w:pPr>
      <w:r>
        <w:rPr>
          <w:rFonts w:ascii="Arial" w:cs="Arial" w:eastAsia="Arial" w:hAnsi="Arial"/>
          <w:sz w:val="22"/>
          <w:szCs w:val="22"/>
        </w:rPr>
        <w:t xml:space="preserve">User Reviews: Verified business users rate agents on reliability, ROI, support quality</w:t>
      </w:r>
    </w:p>
    <w:p>
      <w:pPr>
        <w:pStyle w:val="ListParagraph"/>
        <w:numPr>
          <w:ilvl w:val="0"/>
          <w:numId w:val="2"/>
        </w:numPr>
        <w:spacing w:after="80"/>
      </w:pPr>
      <w:r>
        <w:rPr>
          <w:rFonts w:ascii="Arial" w:cs="Arial" w:eastAsia="Arial" w:hAnsi="Arial"/>
          <w:sz w:val="22"/>
          <w:szCs w:val="22"/>
        </w:rPr>
        <w:t xml:space="preserve">Compliance Scores: POPIA, GDPR, ISO27001 compliance rating per agent</w:t>
      </w:r>
    </w:p>
    <w:p>
      <w:pPr>
        <w:pStyle w:val="ListParagraph"/>
        <w:numPr>
          <w:ilvl w:val="0"/>
          <w:numId w:val="2"/>
        </w:numPr>
        <w:spacing w:after="80"/>
      </w:pPr>
      <w:r>
        <w:rPr>
          <w:rFonts w:ascii="Arial" w:cs="Arial" w:eastAsia="Arial" w:hAnsi="Arial"/>
          <w:sz w:val="22"/>
          <w:szCs w:val="22"/>
        </w:rPr>
        <w:t xml:space="preserve">Agent Comparison: Side-by-side comparison for agents in same category</w:t>
      </w:r>
    </w:p>
    <w:p>
      <w:pPr>
        <w:pStyle w:val="ListParagraph"/>
        <w:numPr>
          <w:ilvl w:val="0"/>
          <w:numId w:val="2"/>
        </w:numPr>
        <w:spacing w:after="80"/>
      </w:pPr>
      <w:r>
        <w:rPr>
          <w:rFonts w:ascii="Arial" w:cs="Arial" w:eastAsia="Arial" w:hAnsi="Arial"/>
          <w:sz w:val="22"/>
          <w:szCs w:val="22"/>
        </w:rPr>
        <w:t xml:space="preserve">Incident Reports: Publicly reported agent failures and fixes (like CVE for AI)</w:t>
      </w:r>
    </w:p>
    <w:p>
      <w:pPr>
        <w:spacing w:after="160"/>
      </w:pPr>
      <w:r>
        <w:t xml:space="preserve"/>
      </w:r>
    </w:p>
    <w:p>
      <w:pPr>
        <w:pStyle w:val="Heading2"/>
      </w:pPr>
      <w:r>
        <w:rPr>
          <w:rFonts w:ascii="Arial" w:cs="Arial" w:eastAsia="Arial" w:hAnsi="Arial"/>
          <w:b/>
          <w:bCs/>
          <w:color w:val="1B2A4A"/>
          <w:sz w:val="28"/>
          <w:szCs w:val="28"/>
        </w:rPr>
        <w:t xml:space="preserve">Business Model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CANVAS ELEMENT</w:t>
            </w:r>
          </w:p>
        </w:tc>
        <w:tc>
          <w:tcPr>
            <w:tcW w:type="dxa" w:w="4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Value Proposition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The only trusted, independent platform for evaluating AI agents before deployment</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Customer Segments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IT buyers, developers listing agents, AI researchers, investors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Revenue Streams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agent listings R2,000–R10,000/month; Enterprise API access R50K/year; Sponsored placements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Resources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testing lab, reviewer community, developer partnerships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Activities</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Agent testing, review moderation, benchmark updates, developer relations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Key Partners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Major AI platforms (OpenAI, Anthropic, Google), SA enterprise tech buyers</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Timeline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6 months MVP (SA focus) → 18 months Africa → 36 months global</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Funding Required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R2M seed for platform build + testing infrastructure</w:t>
            </w:r>
          </w:p>
        </w:tc>
      </w:tr>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color w:val="000000"/>
                <w:sz w:val="20"/>
                <w:szCs w:val="20"/>
              </w:rPr>
              <w:t xml:space="preserve">Exit Potential</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Acquisition by G2, Gartner, or LinkedIn at 10–30x revenue multiple</w:t>
            </w:r>
          </w:p>
        </w:tc>
      </w:tr>
    </w:tbl>
    <w:p>
      <w:pPr>
        <w:spacing w:after="160"/>
      </w:pPr>
      <w:r>
        <w:t xml:space="preserve"/>
      </w:r>
    </w:p>
    <w:p>
      <w:pPr>
        <w:pStyle w:val="Heading2"/>
      </w:pPr>
      <w:r>
        <w:rPr>
          <w:rFonts w:ascii="Arial" w:cs="Arial" w:eastAsia="Arial" w:hAnsi="Arial"/>
          <w:b/>
          <w:bCs/>
          <w:color w:val="1B2A4A"/>
          <w:sz w:val="28"/>
          <w:szCs w:val="28"/>
        </w:rPr>
        <w:t xml:space="preserve">Financial Projections (Platform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715"/>
        <w:gridCol w:w="1715"/>
        <w:gridCol w:w="1715"/>
        <w:gridCol w:w="1715"/>
      </w:tblGrid>
      <w:tr>
        <w:tc>
          <w:tcPr>
            <w:tcW w:type="dxa" w:w="2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1</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2</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3</w:t>
            </w:r>
          </w:p>
        </w:tc>
        <w:tc>
          <w:tcPr>
            <w:tcW w:type="dxa" w:w="1715"/>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Year 5</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Listed Agents</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500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2,000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15,000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Premium Listings Revenue</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R1,000,000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R4,000,000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R30,000,000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Enterprise API Revenue</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R20,000,000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Total Annual Revenue</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R1,500,000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R9,000,000</w:t>
            </w:r>
          </w:p>
        </w:tc>
        <w:tc>
          <w:tcPr>
            <w:tcW w:type="dxa" w:w="171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R50,000,000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Operating Costs</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R2,000,000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R5,000,000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R12,000,000</w:t>
            </w:r>
          </w:p>
        </w:tc>
        <w:tc>
          <w:tcPr>
            <w:tcW w:type="dxa" w:w="1715"/>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R25,000,000</w:t>
            </w:r>
          </w:p>
        </w:tc>
      </w:tr>
    </w:tbl>
    <w:p>
      <w:pPr>
        <w:spacing w:after="160"/>
      </w:pPr>
      <w:r>
        <w:t xml:space="preserve"/>
      </w:r>
    </w:p>
    <w:p>
      <w:pPr>
        <w:pStyle w:val="Heading2"/>
      </w:pPr>
      <w:r>
        <w:rPr>
          <w:rFonts w:ascii="Arial" w:cs="Arial" w:eastAsia="Arial" w:hAnsi="Arial"/>
          <w:b/>
          <w:bCs/>
          <w:color w:val="1B2A4A"/>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120"/>
        <w:gridCol w:w="2120"/>
        <w:gridCol w:w="2000"/>
      </w:tblGrid>
      <w:tr>
        <w:tc>
          <w:tcPr>
            <w:tcW w:type="dxa" w:w="3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Prob.</w:t>
            </w:r>
          </w:p>
        </w:tc>
        <w:tc>
          <w:tcPr>
            <w:tcW w:type="dxa" w:w="212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OpenAI/Anthropic builds their own agent marketplace</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Independent trust is the moat — users trust neutral 3rd party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Review manipulation (fake reviews)</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Verified business email for reviews; AI fraud detection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Funding requirement for platform build</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High</w:t>
            </w:r>
          </w:p>
        </w:tc>
        <w:tc>
          <w:tcPr>
            <w:tcW w:type="dxa" w:w="2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20"/>
                <w:szCs w:val="20"/>
              </w:rPr>
              <w:t xml:space="preserve">Start with manual testing + spreadsheet; automate as revenue grows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Market too early — agents not yet mainstream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Build during the wave so you are ready when it peaks</w:t>
            </w:r>
          </w:p>
        </w:tc>
      </w:tr>
    </w:tbl>
    <w:p>
      <w:pPr>
        <w:spacing w:after="160"/>
      </w:pPr>
      <w:r>
        <w:t xml:space="preserve"/>
      </w:r>
    </w:p>
    <w:p>
      <w:pPr>
        <w:spacing w:before="400"/>
        <w:jc w:val="center"/>
      </w:pPr>
      <w:r>
        <w:rPr>
          <w:rFonts w:ascii="Arial" w:cs="Arial" w:eastAsia="Arial" w:hAnsi="Arial"/>
          <w:b/>
          <w:bCs/>
          <w:color w:val="D4A017"/>
          <w:sz w:val="18"/>
          <w:szCs w:val="18"/>
        </w:rPr>
        <w:t xml:space="preserve">— END OF BUSINESS PLAN: GLASSDOOR FOR AI AGENTS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2A4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2026-04-07T07:07:41.507Z</dcterms:created>
  <dcterms:modified xsi:type="dcterms:W3CDTF">2026-04-07T07:07:41.508Z</dcterms:modified>
</cp:coreProperties>
</file>

<file path=docProps/custom.xml><?xml version="1.0" encoding="utf-8"?>
<Properties xmlns="http://schemas.openxmlformats.org/officeDocument/2006/custom-properties" xmlns:vt="http://schemas.openxmlformats.org/officeDocument/2006/docPropsVTypes"/>
</file>