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500"/>
              <w:bottom w:type="dxa" w:w="400"/>
              <w:right w:type="dxa" w:w="500"/>
            </w:tcMar>
          </w:tcPr>
          <w:p>
            <w:pPr>
              <w:jc w:val="center"/>
            </w:pPr>
            <w:r>
              <w:rPr>
                <w:rFonts w:ascii="Arial" w:cs="Arial" w:eastAsia="Arial" w:hAnsi="Arial"/>
                <w:b/>
                <w:bCs/>
                <w:color w:val="D4A017"/>
                <w:sz w:val="22"/>
                <w:szCs w:val="22"/>
              </w:rPr>
              <w:t xml:space="preserve">IDEA #23 — PHASE 3 — FUTURE PLAYS</w:t>
            </w:r>
          </w:p>
          <w:p>
            <w:pPr>
              <w:spacing w:after="120" w:before="120"/>
              <w:jc w:val="center"/>
            </w:pPr>
            <w:r>
              <w:rPr>
                <w:rFonts w:ascii="Arial" w:cs="Arial" w:eastAsia="Arial" w:hAnsi="Arial"/>
                <w:b/>
                <w:bCs/>
                <w:color w:val="FFFFFF"/>
                <w:sz w:val="40"/>
                <w:szCs w:val="40"/>
              </w:rPr>
              <w:t xml:space="preserve">AI Business
Incubator</w:t>
            </w:r>
          </w:p>
          <w:p>
            <w:pPr>
              <w:jc w:val="center"/>
            </w:pPr>
            <w:r>
              <w:rPr>
                <w:rFonts w:ascii="Arial" w:cs="Arial" w:eastAsia="Arial" w:hAnsi="Arial"/>
                <w:color w:val="DDDDDD"/>
                <w:sz w:val="22"/>
                <w:szCs w:val="22"/>
              </w:rPr>
              <w:t xml:space="preserve">Invest in AI-native startups. Take equity. Build an empire while others build businesses.</w:t>
            </w:r>
          </w:p>
          <w:p>
            <w:pPr>
              <w:spacing w:before="200"/>
              <w:jc w:val="center"/>
            </w:pPr>
            <w:r>
              <w:rPr>
                <w:rFonts w:ascii="Arial" w:cs="Arial" w:eastAsia="Arial" w:hAnsi="Arial"/>
                <w:color w:val="D4A017"/>
                <w:sz w:val="18"/>
                <w:szCs w:val="18"/>
              </w:rPr>
              <w:t xml:space="preserve">HERMIE IHMIG | LEVINN GROUP</w:t>
            </w:r>
          </w:p>
        </w:tc>
      </w:tr>
    </w:tbl>
    <w:p>
      <w:pPr>
        <w:spacing w:after="160"/>
      </w:pPr>
      <w:r>
        <w:t xml:space="preserve"/>
      </w:r>
    </w:p>
    <w:p>
      <w:pPr>
        <w:pStyle w:val="Heading1"/>
      </w:pPr>
      <w:r>
        <w:rPr>
          <w:rFonts w:ascii="Arial" w:cs="Arial" w:eastAsia="Arial" w:hAnsi="Arial"/>
          <w:b/>
          <w:bCs/>
          <w:color w:val="1B2A4A"/>
          <w:sz w:val="36"/>
          <w:szCs w:val="36"/>
        </w:rPr>
        <w:t xml:space="preserve">23. AI Business Incubator</w:t>
      </w:r>
    </w:p>
    <w:p>
      <w:pPr>
        <w:pBdr>
          <w:bottom w:val="single" w:color="D4A017" w:sz="2"/>
        </w:pBdr>
        <w:spacing w:after="200" w:before="200"/>
      </w:pPr>
      <w:r>
        <w:t xml:space="preserve"/>
      </w:r>
    </w:p>
    <w:p>
      <w:pPr>
        <w:pStyle w:val="Heading2"/>
      </w:pPr>
      <w:r>
        <w:rPr>
          <w:rFonts w:ascii="Arial" w:cs="Arial" w:eastAsia="Arial" w:hAnsi="Arial"/>
          <w:b/>
          <w:bCs/>
          <w:color w:val="1B2A4A"/>
          <w:sz w:val="28"/>
          <w:szCs w:val="28"/>
        </w:rPr>
        <w:t xml:space="preserve">Executive Summary</w:t>
      </w:r>
    </w:p>
    <w:p>
      <w:pPr>
        <w:spacing w:after="120"/>
      </w:pPr>
      <w:r>
        <w:rPr>
          <w:rFonts w:ascii="Arial" w:cs="Arial" w:eastAsia="Arial" w:hAnsi="Arial"/>
          <w:sz w:val="22"/>
          <w:szCs w:val="22"/>
        </w:rPr>
        <w:t xml:space="preserve">Rather than building one AI business, build the infrastructure that spawns many. An AI Business Incubator combines your operational expertise (Levinn Group), AI tool stack, and strategic guidance to accelerate AI-native startups in SA. You invest R100,000–R500,000 per cohort (cash + services), take 10–25% equity, and provide a shared platform of AI tools, distribution channels, and mentorship. As the SA AI ecosystem matures, your portfolio compounds. This is the Berkshire Hathaway model applied to the AI revolution.</w:t>
      </w:r>
    </w:p>
    <w:p>
      <w:pPr>
        <w:spacing w:after="160"/>
      </w:pPr>
      <w:r>
        <w:t xml:space="preserve"/>
      </w:r>
    </w:p>
    <w:p>
      <w:pPr>
        <w:pStyle w:val="Heading2"/>
      </w:pPr>
      <w:r>
        <w:rPr>
          <w:rFonts w:ascii="Arial" w:cs="Arial" w:eastAsia="Arial" w:hAnsi="Arial"/>
          <w:b/>
          <w:bCs/>
          <w:color w:val="1B2A4A"/>
          <w:sz w:val="28"/>
          <w:szCs w:val="28"/>
        </w:rPr>
        <w:t xml:space="preserve">Incubator Model</w:t>
      </w:r>
    </w:p>
    <w:p>
      <w:pPr>
        <w:pStyle w:val="ListParagraph"/>
        <w:numPr>
          <w:ilvl w:val="0"/>
          <w:numId w:val="2"/>
        </w:numPr>
        <w:spacing w:after="80"/>
      </w:pPr>
      <w:r>
        <w:rPr>
          <w:rFonts w:ascii="Arial" w:cs="Arial" w:eastAsia="Arial" w:hAnsi="Arial"/>
          <w:sz w:val="22"/>
          <w:szCs w:val="22"/>
        </w:rPr>
        <w:t xml:space="preserve">Cohort size: 5–10 startups per 6-month cohort</w:t>
      </w:r>
    </w:p>
    <w:p>
      <w:pPr>
        <w:pStyle w:val="ListParagraph"/>
        <w:numPr>
          <w:ilvl w:val="0"/>
          <w:numId w:val="2"/>
        </w:numPr>
        <w:spacing w:after="80"/>
      </w:pPr>
      <w:r>
        <w:rPr>
          <w:rFonts w:ascii="Arial" w:cs="Arial" w:eastAsia="Arial" w:hAnsi="Arial"/>
          <w:sz w:val="22"/>
          <w:szCs w:val="22"/>
        </w:rPr>
        <w:t xml:space="preserve">Selection criteria: AI-native, SA market, strong founder, validated problem</w:t>
      </w:r>
    </w:p>
    <w:p>
      <w:pPr>
        <w:pStyle w:val="ListParagraph"/>
        <w:numPr>
          <w:ilvl w:val="0"/>
          <w:numId w:val="2"/>
        </w:numPr>
        <w:spacing w:after="80"/>
      </w:pPr>
      <w:r>
        <w:rPr>
          <w:rFonts w:ascii="Arial" w:cs="Arial" w:eastAsia="Arial" w:hAnsi="Arial"/>
          <w:sz w:val="22"/>
          <w:szCs w:val="22"/>
        </w:rPr>
        <w:t xml:space="preserve">Investment: R150,000 cash + R200,000 in services (tools, office, mentorship) = R350,000 total value</w:t>
      </w:r>
    </w:p>
    <w:p>
      <w:pPr>
        <w:pStyle w:val="ListParagraph"/>
        <w:numPr>
          <w:ilvl w:val="0"/>
          <w:numId w:val="2"/>
        </w:numPr>
        <w:spacing w:after="80"/>
      </w:pPr>
      <w:r>
        <w:rPr>
          <w:rFonts w:ascii="Arial" w:cs="Arial" w:eastAsia="Arial" w:hAnsi="Arial"/>
          <w:sz w:val="22"/>
          <w:szCs w:val="22"/>
        </w:rPr>
        <w:t xml:space="preserve">Equity taken: 15–20% per company</w:t>
      </w:r>
    </w:p>
    <w:p>
      <w:pPr>
        <w:pStyle w:val="ListParagraph"/>
        <w:numPr>
          <w:ilvl w:val="0"/>
          <w:numId w:val="2"/>
        </w:numPr>
        <w:spacing w:after="80"/>
      </w:pPr>
      <w:r>
        <w:rPr>
          <w:rFonts w:ascii="Arial" w:cs="Arial" w:eastAsia="Arial" w:hAnsi="Arial"/>
          <w:sz w:val="22"/>
          <w:szCs w:val="22"/>
        </w:rPr>
        <w:t xml:space="preserve">Support provided: AI tool stack (free access), distribution (Levinn network), fundraising prep, legal setup</w:t>
      </w:r>
    </w:p>
    <w:p>
      <w:pPr>
        <w:spacing w:after="160"/>
      </w:pPr>
      <w:r>
        <w:t xml:space="preserve"/>
      </w:r>
    </w:p>
    <w:p>
      <w:pPr>
        <w:pStyle w:val="Heading2"/>
      </w:pPr>
      <w:r>
        <w:rPr>
          <w:rFonts w:ascii="Arial" w:cs="Arial" w:eastAsia="Arial" w:hAnsi="Arial"/>
          <w:b/>
          <w:bCs/>
          <w:color w:val="1B2A4A"/>
          <w:sz w:val="28"/>
          <w:szCs w:val="28"/>
        </w:rPr>
        <w:t xml:space="preserve">Incubator Revenue Streams</w:t>
      </w:r>
    </w:p>
    <w:p>
      <w:pPr>
        <w:pStyle w:val="ListParagraph"/>
        <w:numPr>
          <w:ilvl w:val="0"/>
          <w:numId w:val="2"/>
        </w:numPr>
        <w:spacing w:after="80"/>
      </w:pPr>
      <w:r>
        <w:rPr>
          <w:rFonts w:ascii="Arial" w:cs="Arial" w:eastAsia="Arial" w:hAnsi="Arial"/>
          <w:sz w:val="22"/>
          <w:szCs w:val="22"/>
        </w:rPr>
        <w:t xml:space="preserve">Government grants: SEDA, IDC, dti have incubator funding programs (R500K–R5M grants available)</w:t>
      </w:r>
    </w:p>
    <w:p>
      <w:pPr>
        <w:pStyle w:val="ListParagraph"/>
        <w:numPr>
          <w:ilvl w:val="0"/>
          <w:numId w:val="2"/>
        </w:numPr>
        <w:spacing w:after="80"/>
      </w:pPr>
      <w:r>
        <w:rPr>
          <w:rFonts w:ascii="Arial" w:cs="Arial" w:eastAsia="Arial" w:hAnsi="Arial"/>
          <w:sz w:val="22"/>
          <w:szCs w:val="22"/>
        </w:rPr>
        <w:t xml:space="preserve">Corporate partnerships: MTN, Vodacom, FNB sponsor incubators for dealflow and innovation access</w:t>
      </w:r>
    </w:p>
    <w:p>
      <w:pPr>
        <w:pStyle w:val="ListParagraph"/>
        <w:numPr>
          <w:ilvl w:val="0"/>
          <w:numId w:val="2"/>
        </w:numPr>
        <w:spacing w:after="80"/>
      </w:pPr>
      <w:r>
        <w:rPr>
          <w:rFonts w:ascii="Arial" w:cs="Arial" w:eastAsia="Arial" w:hAnsi="Arial"/>
          <w:sz w:val="22"/>
          <w:szCs w:val="22"/>
        </w:rPr>
        <w:t xml:space="preserve">Equity appreciation: 10 cohorts × 8 companies × 15% equity = 120 positions. If 10% exit at R10M = R1.2M proceeds.</w:t>
      </w:r>
    </w:p>
    <w:p>
      <w:pPr>
        <w:pStyle w:val="ListParagraph"/>
        <w:numPr>
          <w:ilvl w:val="0"/>
          <w:numId w:val="2"/>
        </w:numPr>
        <w:spacing w:after="80"/>
      </w:pPr>
      <w:r>
        <w:rPr>
          <w:rFonts w:ascii="Arial" w:cs="Arial" w:eastAsia="Arial" w:hAnsi="Arial"/>
          <w:sz w:val="22"/>
          <w:szCs w:val="22"/>
        </w:rPr>
        <w:t xml:space="preserve">Incubator management fees: Corporates pay R500K–R1M/year to run their internal incubator program</w:t>
      </w:r>
    </w:p>
    <w:p>
      <w:pPr>
        <w:spacing w:after="160"/>
      </w:pPr>
      <w:r>
        <w:t xml:space="preserve"/>
      </w:r>
    </w:p>
    <w:p>
      <w:pPr>
        <w:pStyle w:val="Heading2"/>
      </w:pPr>
      <w:r>
        <w:rPr>
          <w:rFonts w:ascii="Arial" w:cs="Arial" w:eastAsia="Arial" w:hAnsi="Arial"/>
          <w:b/>
          <w:bCs/>
          <w:color w:val="1B2A4A"/>
          <w:sz w:val="28"/>
          <w:szCs w:val="28"/>
        </w:rPr>
        <w:t xml:space="preserve">Business Model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CANVAS ELEMENT</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Value Proposition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best AI startup incubator in SA — tools, network, and capital to go from idea to funding</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Customer Segments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Early-stage AI founders (supply); Corporate sponsors and government (funding)</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Revenue Streams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Equity in portfolio companies + corporate sponsorships R500K/year + government grants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Resources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tool stack, Levinn Group network, SA startup ecosystem relationships, office space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Activities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Startup selection, mentorship program, demo day, investor relations, alumni network</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Partners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SEDA, IDC, Knife Capital, 4Di Capital, Stanford Africa, Wits/UCT entrepreneurship programs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Timeline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 months setup → First cohort → 24 months first exits → 36 months fund launched</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Funding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R2M for first cohort + R500K operating budget</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SA Unique Value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SA-specific compliance knowledge + Black entrepreneur empowerment angle (B-BBEE)</w:t>
            </w:r>
          </w:p>
        </w:tc>
      </w:tr>
    </w:tbl>
    <w:p>
      <w:pPr>
        <w:spacing w:after="160"/>
      </w:pPr>
      <w:r>
        <w:t xml:space="preserve"/>
      </w:r>
    </w:p>
    <w:p>
      <w:pPr>
        <w:pStyle w:val="Heading2"/>
      </w:pPr>
      <w:r>
        <w:rPr>
          <w:rFonts w:ascii="Arial" w:cs="Arial" w:eastAsia="Arial" w:hAnsi="Arial"/>
          <w:b/>
          <w:bCs/>
          <w:color w:val="1B2A4A"/>
          <w:sz w:val="28"/>
          <w:szCs w:val="28"/>
        </w:rPr>
        <w:t xml:space="preserve">Portfolio Strategy</w:t>
      </w:r>
    </w:p>
    <w:p>
      <w:pPr>
        <w:pStyle w:val="ListParagraph"/>
        <w:numPr>
          <w:ilvl w:val="0"/>
          <w:numId w:val="2"/>
        </w:numPr>
        <w:spacing w:after="80"/>
      </w:pPr>
      <w:r>
        <w:rPr>
          <w:rFonts w:ascii="Arial" w:cs="Arial" w:eastAsia="Arial" w:hAnsi="Arial"/>
          <w:sz w:val="22"/>
          <w:szCs w:val="22"/>
        </w:rPr>
        <w:t xml:space="preserve">Focus areas: PropTech AI, FinTech AI, AgriTech AI, LegalTech AI, HealthTech AI</w:t>
      </w:r>
    </w:p>
    <w:p>
      <w:pPr>
        <w:pStyle w:val="ListParagraph"/>
        <w:numPr>
          <w:ilvl w:val="0"/>
          <w:numId w:val="2"/>
        </w:numPr>
        <w:spacing w:after="80"/>
      </w:pPr>
      <w:r>
        <w:rPr>
          <w:rFonts w:ascii="Arial" w:cs="Arial" w:eastAsia="Arial" w:hAnsi="Arial"/>
          <w:sz w:val="22"/>
          <w:szCs w:val="22"/>
        </w:rPr>
        <w:t xml:space="preserve">Portfolio target: 50 companies over 5 years, own 15% avg equity each</w:t>
      </w:r>
    </w:p>
    <w:p>
      <w:pPr>
        <w:pStyle w:val="ListParagraph"/>
        <w:numPr>
          <w:ilvl w:val="0"/>
          <w:numId w:val="2"/>
        </w:numPr>
        <w:spacing w:after="80"/>
      </w:pPr>
      <w:r>
        <w:rPr>
          <w:rFonts w:ascii="Arial" w:cs="Arial" w:eastAsia="Arial" w:hAnsi="Arial"/>
          <w:sz w:val="22"/>
          <w:szCs w:val="22"/>
        </w:rPr>
        <w:t xml:space="preserve">Conservative scenario: 5 exits at R10M each = R7.5M proceeds on 15% stake</w:t>
      </w:r>
    </w:p>
    <w:p>
      <w:pPr>
        <w:pStyle w:val="ListParagraph"/>
        <w:numPr>
          <w:ilvl w:val="0"/>
          <w:numId w:val="2"/>
        </w:numPr>
        <w:spacing w:after="80"/>
      </w:pPr>
      <w:r>
        <w:rPr>
          <w:rFonts w:ascii="Arial" w:cs="Arial" w:eastAsia="Arial" w:hAnsi="Arial"/>
          <w:sz w:val="22"/>
          <w:szCs w:val="22"/>
        </w:rPr>
        <w:t xml:space="preserve">Optimistic scenario: 2 companies reach R100M+ valuation = R30M proceeds</w:t>
      </w:r>
    </w:p>
    <w:p>
      <w:pPr>
        <w:spacing w:after="160"/>
      </w:pPr>
      <w:r>
        <w:t xml:space="preserve"/>
      </w:r>
    </w:p>
    <w:p>
      <w:pPr>
        <w:spacing w:before="400"/>
        <w:jc w:val="center"/>
      </w:pPr>
      <w:r>
        <w:rPr>
          <w:rFonts w:ascii="Arial" w:cs="Arial" w:eastAsia="Arial" w:hAnsi="Arial"/>
          <w:b/>
          <w:bCs/>
          <w:color w:val="D4A017"/>
          <w:sz w:val="18"/>
          <w:szCs w:val="18"/>
        </w:rPr>
        <w:t xml:space="preserve">— END OF BUSINESS PLAN: AI BUSINESS INCUBATOR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2026-04-07T07:07:41.593Z</dcterms:created>
  <dcterms:modified xsi:type="dcterms:W3CDTF">2026-04-07T07:07:41.593Z</dcterms:modified>
</cp:coreProperties>
</file>

<file path=docProps/custom.xml><?xml version="1.0" encoding="utf-8"?>
<Properties xmlns="http://schemas.openxmlformats.org/officeDocument/2006/custom-properties" xmlns:vt="http://schemas.openxmlformats.org/officeDocument/2006/docPropsVTypes"/>
</file>