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IDEA #24 — PHASE 3 — FUTURE PLAYS</w:t>
            </w:r>
          </w:p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Human-Made
Certification Brand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In the age of AI, humans will pay a premium for genuine human work.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D4A017"/>
                <w:sz w:val="18"/>
                <w:szCs w:val="18"/>
              </w:rPr>
              <w:t xml:space="preserve">HERMIE IHMIG | LEVINN GROUP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24. Human-Made Certification Brand</w:t>
      </w:r>
    </w:p>
    <w:p>
      <w:pPr>
        <w:pBdr>
          <w:bottom w:val="single" w:color="D4A017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AI generates more of the world's content, products, and decisions, there will be an explosion of demand for certified human-made goods and services. Think "organic" for AI — a trustmark that consumers and brands pay a premium for. You build and license the "Handmade by Human" certification standard: for products (art, craft, writing), for services (legal advice, therapy, creative direction), and for content (journalism, photography, music). You issue certifications, run audits, and license the mark. This is a standards and IP business with compounding network effects.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The Authenticity Economy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72% of consumers say they will pay more for human-made products as AI proliferates (Edelman 2024 Trust Barometer)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art, AI writing, and AI-generated products are flooding every market — authenticity becomes scarce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Luxury brands (Gucci, Louis Vuitton) are beginning to mandate human-only design certification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Academic institutions and publishers are demanding AI-detection guarantees on submitted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"Human Premium" is already visible: hand-knitted goods sell for 5x machine-made equivalents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Business Model Canvas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CANVAS ELEMENT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Value Proposition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globally recognized certification that proves your work is 100% human-made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Customer Segments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Artists, craftspeople, authors, therapists, journalists, luxury brands, law firms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Revenue Streams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Certification fee R2,000–R20,000/year per entity; licensing for products R500/year; audit fees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Resources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Certification methodology, audit process, legal IP protection, brand recognition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Activities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development, certification audits, brand enforcement, global licensing partnerships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Partners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 Guild of Craftspeople, PASA (Publishers), SA Bar Association, creative unions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months standard development → 24 months SA launch → 36 months global licensing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Funding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R1.5M for standard development, legal protection, and brand launch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Revenue Potential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1,000 certified entities × R5,000/year = R5M annual revenue within 5 years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Financial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15"/>
        <w:gridCol w:w="1715"/>
        <w:gridCol w:w="1715"/>
        <w:gridCol w:w="1715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Certified Entities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Avg Annual Cert Fee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R4,000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R5,000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R6,000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 Revenue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R150,000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R1,200,000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R5,000,000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R60,000,000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Operating Costs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R1,500,000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R3,000,000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R8,000,000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R20,000,000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Annual Profit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−R1,350,000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−R1,800,000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−R3,000,000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R40,000,000</w:t>
            </w:r>
          </w:p>
        </w:tc>
      </w:tr>
    </w:tbl>
    <w:p>
      <w:pPr>
        <w:spacing w:after="1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D4A017"/>
          <w:sz w:val="18"/>
          <w:szCs w:val="18"/>
        </w:rPr>
        <w:t xml:space="preserve">— END OF BUSINESS PLAN: HUMAN-MADE CERTIFICATION BRAND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2026-04-07T07:07:41.601Z</dcterms:created>
  <dcterms:modified xsi:type="dcterms:W3CDTF">2026-04-07T07:07:41.601Z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