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#27 — PHASE 3 — FUTURE PLAYS</w:t>
            </w:r>
          </w:p>
          <w:p>
            <w:pPr>
              <w:spacing w:after="120" w:before="120"/>
              <w:jc w:val="center"/>
            </w:pPr>
            <w:r>
              <w:rPr>
                <w:rFonts w:ascii="Arial" w:cs="Arial" w:eastAsia="Arial" w:hAnsi="Arial"/>
                <w:b/>
                <w:bCs/>
                <w:color w:val="FFFFFF"/>
                <w:sz w:val="40"/>
                <w:szCs w:val="40"/>
              </w:rPr>
              <w:t xml:space="preserve">Agent Permission
Platform</w:t>
            </w:r>
          </w:p>
          <w:p>
            <w:pPr>
              <w:jc w:val="center"/>
            </w:pPr>
            <w:r>
              <w:rPr>
                <w:rFonts w:ascii="Arial" w:cs="Arial" w:eastAsia="Arial" w:hAnsi="Arial"/>
                <w:color w:val="DDDDDD"/>
                <w:sz w:val="22"/>
                <w:szCs w:val="22"/>
              </w:rPr>
              <w:t xml:space="preserve">Control what AI can access. A governance layer enterprises cannot do without.</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27. Agent Permission Platform</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As AI agents get access to company systems, data, and external services, controlling those permissions becomes critical. Just as IAM (Identity and Access Management) became essential infrastructure for cloud, "Agent Permission Management" will be essential infrastructure for the AI era. You build the enterprise software that defines, monitors, and audits what every AI agent in a company is allowed to do — what data it can read, what actions it can take, what it cannot. This is a B2B enterprise SaaS play with high switching costs and recurring revenue.</w:t>
      </w:r>
    </w:p>
    <w:p>
      <w:pPr>
        <w:spacing w:after="160"/>
      </w:pPr>
      <w:r>
        <w:t xml:space="preserve"/>
      </w:r>
    </w:p>
    <w:p>
      <w:pPr>
        <w:pStyle w:val="Heading2"/>
      </w:pPr>
      <w:r>
        <w:rPr>
          <w:rFonts w:ascii="Arial" w:cs="Arial" w:eastAsia="Arial" w:hAnsi="Arial"/>
          <w:b/>
          <w:bCs/>
          <w:color w:val="1B2A4A"/>
          <w:sz w:val="28"/>
          <w:szCs w:val="28"/>
        </w:rPr>
        <w:t xml:space="preserve">The Agent Governance Problem</w:t>
      </w:r>
    </w:p>
    <w:p>
      <w:pPr>
        <w:pStyle w:val="ListParagraph"/>
        <w:numPr>
          <w:ilvl w:val="0"/>
          <w:numId w:val="2"/>
        </w:numPr>
        <w:spacing w:after="80"/>
      </w:pPr>
      <w:r>
        <w:rPr>
          <w:rFonts w:ascii="Arial" w:cs="Arial" w:eastAsia="Arial" w:hAnsi="Arial"/>
          <w:sz w:val="22"/>
          <w:szCs w:val="22"/>
        </w:rPr>
        <w:t xml:space="preserve">By 2026, average enterprise will run 200+ AI agents — no governance framework exists today</w:t>
      </w:r>
    </w:p>
    <w:p>
      <w:pPr>
        <w:pStyle w:val="ListParagraph"/>
        <w:numPr>
          <w:ilvl w:val="0"/>
          <w:numId w:val="2"/>
        </w:numPr>
        <w:spacing w:after="80"/>
      </w:pPr>
      <w:r>
        <w:rPr>
          <w:rFonts w:ascii="Arial" w:cs="Arial" w:eastAsia="Arial" w:hAnsi="Arial"/>
          <w:sz w:val="22"/>
          <w:szCs w:val="22"/>
        </w:rPr>
        <w:t xml:space="preserve">Rogue agents with excess permissions cause data leaks, compliance violations, and financial losses</w:t>
      </w:r>
    </w:p>
    <w:p>
      <w:pPr>
        <w:pStyle w:val="ListParagraph"/>
        <w:numPr>
          <w:ilvl w:val="0"/>
          <w:numId w:val="2"/>
        </w:numPr>
        <w:spacing w:after="80"/>
      </w:pPr>
      <w:r>
        <w:rPr>
          <w:rFonts w:ascii="Arial" w:cs="Arial" w:eastAsia="Arial" w:hAnsi="Arial"/>
          <w:sz w:val="22"/>
          <w:szCs w:val="22"/>
        </w:rPr>
        <w:t xml:space="preserve">POPIA, GDPR, SOC 2, ISO 27001 all require documentation of data access — agents make this complex</w:t>
      </w:r>
    </w:p>
    <w:p>
      <w:pPr>
        <w:pStyle w:val="ListParagraph"/>
        <w:numPr>
          <w:ilvl w:val="0"/>
          <w:numId w:val="2"/>
        </w:numPr>
        <w:spacing w:after="80"/>
      </w:pPr>
      <w:r>
        <w:rPr>
          <w:rFonts w:ascii="Arial" w:cs="Arial" w:eastAsia="Arial" w:hAnsi="Arial"/>
          <w:sz w:val="22"/>
          <w:szCs w:val="22"/>
        </w:rPr>
        <w:t xml:space="preserve">IT security teams have no tools designed specifically for agent permission management</w:t>
      </w:r>
    </w:p>
    <w:p>
      <w:pPr>
        <w:spacing w:after="160"/>
      </w:pPr>
      <w:r>
        <w:t xml:space="preserve"/>
      </w:r>
    </w:p>
    <w:p>
      <w:pPr>
        <w:pStyle w:val="Heading2"/>
      </w:pPr>
      <w:r>
        <w:rPr>
          <w:rFonts w:ascii="Arial" w:cs="Arial" w:eastAsia="Arial" w:hAnsi="Arial"/>
          <w:b/>
          <w:bCs/>
          <w:color w:val="1B2A4A"/>
          <w:sz w:val="28"/>
          <w:szCs w:val="28"/>
        </w:rPr>
        <w:t xml:space="preserve">Platform Features</w:t>
      </w:r>
    </w:p>
    <w:p>
      <w:pPr>
        <w:pStyle w:val="ListParagraph"/>
        <w:numPr>
          <w:ilvl w:val="0"/>
          <w:numId w:val="2"/>
        </w:numPr>
        <w:spacing w:after="80"/>
      </w:pPr>
      <w:r>
        <w:rPr>
          <w:rFonts w:ascii="Arial" w:cs="Arial" w:eastAsia="Arial" w:hAnsi="Arial"/>
          <w:sz w:val="22"/>
          <w:szCs w:val="22"/>
        </w:rPr>
        <w:t xml:space="preserve">Agent Registry: Central catalog of all AI agents running in the organization</w:t>
      </w:r>
    </w:p>
    <w:p>
      <w:pPr>
        <w:pStyle w:val="ListParagraph"/>
        <w:numPr>
          <w:ilvl w:val="0"/>
          <w:numId w:val="2"/>
        </w:numPr>
        <w:spacing w:after="80"/>
      </w:pPr>
      <w:r>
        <w:rPr>
          <w:rFonts w:ascii="Arial" w:cs="Arial" w:eastAsia="Arial" w:hAnsi="Arial"/>
          <w:sz w:val="22"/>
          <w:szCs w:val="22"/>
        </w:rPr>
        <w:t xml:space="preserve">Permission Engine: Define granular permissions (read/write/execute) per agent per system</w:t>
      </w:r>
    </w:p>
    <w:p>
      <w:pPr>
        <w:pStyle w:val="ListParagraph"/>
        <w:numPr>
          <w:ilvl w:val="0"/>
          <w:numId w:val="2"/>
        </w:numPr>
        <w:spacing w:after="80"/>
      </w:pPr>
      <w:r>
        <w:rPr>
          <w:rFonts w:ascii="Arial" w:cs="Arial" w:eastAsia="Arial" w:hAnsi="Arial"/>
          <w:sz w:val="22"/>
          <w:szCs w:val="22"/>
        </w:rPr>
        <w:t xml:space="preserve">Activity Audit Log: Complete log of every action every agent takes — tamper-proof</w:t>
      </w:r>
    </w:p>
    <w:p>
      <w:pPr>
        <w:pStyle w:val="ListParagraph"/>
        <w:numPr>
          <w:ilvl w:val="0"/>
          <w:numId w:val="2"/>
        </w:numPr>
        <w:spacing w:after="80"/>
      </w:pPr>
      <w:r>
        <w:rPr>
          <w:rFonts w:ascii="Arial" w:cs="Arial" w:eastAsia="Arial" w:hAnsi="Arial"/>
          <w:sz w:val="22"/>
          <w:szCs w:val="22"/>
        </w:rPr>
        <w:t xml:space="preserve">Anomaly Detection: Alert when an agent behaves outside its permission boundaries</w:t>
      </w:r>
    </w:p>
    <w:p>
      <w:pPr>
        <w:pStyle w:val="ListParagraph"/>
        <w:numPr>
          <w:ilvl w:val="0"/>
          <w:numId w:val="2"/>
        </w:numPr>
        <w:spacing w:after="80"/>
      </w:pPr>
      <w:r>
        <w:rPr>
          <w:rFonts w:ascii="Arial" w:cs="Arial" w:eastAsia="Arial" w:hAnsi="Arial"/>
          <w:sz w:val="22"/>
          <w:szCs w:val="22"/>
        </w:rPr>
        <w:t xml:space="preserve">POPIA/GDPR Compliance Report: One-click compliance documentation for regulators</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 exactly what every AI agent in your company can do — and stop it if it goes wrong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IT/Security teams; Financial services; Healthcare; Government departments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SaaS subscription R25,000–R150,000/month based on number of agents managed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 and Access Management engineering expertise, security certifications, enterprise sales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development, enterprise sales, compliance framework updates, customer success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Entra ID, Okta, AWS IAM (integrations); ISACA SA; banking regulators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18 months build → enterprise pilots → 36 months first R1M MRR → Series B funding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R15M Series A for enterprise-grade security platform development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Exit Potential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Acquisition by CyberArk, Okta, or Microsoft at 15–30x ARR</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AGENT PERMISSION PLATFORM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2026-04-07T07:07:41.634Z</dcterms:created>
  <dcterms:modified xsi:type="dcterms:W3CDTF">2026-04-07T07:07:41.634Z</dcterms:modified>
</cp:coreProperties>
</file>

<file path=docProps/custom.xml><?xml version="1.0" encoding="utf-8"?>
<Properties xmlns="http://schemas.openxmlformats.org/officeDocument/2006/custom-properties" xmlns:vt="http://schemas.openxmlformats.org/officeDocument/2006/docPropsVTypes"/>
</file>