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#6 — PHASE 1 — MAKE MONEY NOW</w:t>
            </w:r>
          </w:p>
          <w:p>
            <w:pPr>
              <w:spacing w:after="120" w:before="120"/>
              <w:jc w:val="center"/>
            </w:pPr>
            <w:r>
              <w:rPr>
                <w:rFonts w:ascii="Arial" w:cs="Arial" w:eastAsia="Arial" w:hAnsi="Arial"/>
                <w:b/>
                <w:bCs/>
                <w:color w:val="FFFFFF"/>
                <w:sz w:val="44"/>
                <w:szCs w:val="44"/>
              </w:rPr>
              <w:t xml:space="preserve">AI for Accountants</w:t>
            </w:r>
          </w:p>
          <w:p>
            <w:pPr>
              <w:jc w:val="center"/>
            </w:pPr>
            <w:r>
              <w:rPr>
                <w:rFonts w:ascii="Arial" w:cs="Arial" w:eastAsia="Arial" w:hAnsi="Arial"/>
                <w:color w:val="DDDDDD"/>
                <w:sz w:val="24"/>
                <w:szCs w:val="24"/>
              </w:rPr>
              <w:t xml:space="preserve">Give accounting firms a 10-person team at 10% of the cost.</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06. AI for Accountants</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South Africa has 40,000+ registered accounting firms, the majority being sole practitioners or small practices with 2–10 staff. They are drowning in data entry, bank reconciliation, client onboarding, payroll processing, and SARS deadline management. You become the AI-powered back office for small accounting firms: automate their document processing, build their client communication workflows, and create AI tools that let one accountant do the work of three. Charge R8,000–R20,000/month as a white-label AI operations partner.</w:t>
      </w:r>
    </w:p>
    <w:p>
      <w:pPr>
        <w:spacing w:after="160"/>
      </w:pPr>
      <w:r>
        <w:t xml:space="preserve"/>
      </w:r>
    </w:p>
    <w:p>
      <w:pPr>
        <w:pStyle w:val="Heading2"/>
      </w:pPr>
      <w:r>
        <w:rPr>
          <w:rFonts w:ascii="Arial" w:cs="Arial" w:eastAsia="Arial" w:hAnsi="Arial"/>
          <w:b/>
          <w:bCs/>
          <w:color w:val="1B2A4A"/>
          <w:sz w:val="28"/>
          <w:szCs w:val="28"/>
        </w:rPr>
        <w:t xml:space="preserve">Business Overview</w:t>
      </w:r>
    </w:p>
    <w:p>
      <w:pPr>
        <w:spacing w:after="100" w:before="200"/>
      </w:pPr>
      <w:r>
        <w:rPr>
          <w:rFonts w:ascii="Arial" w:cs="Arial" w:eastAsia="Arial" w:hAnsi="Arial"/>
          <w:b/>
          <w:bCs/>
          <w:color w:val="1A56A0"/>
          <w:sz w:val="24"/>
          <w:szCs w:val="24"/>
        </w:rPr>
        <w:t xml:space="preserve">The Problem</w:t>
      </w:r>
    </w:p>
    <w:p>
      <w:pPr>
        <w:pStyle w:val="ListParagraph"/>
        <w:numPr>
          <w:ilvl w:val="0"/>
          <w:numId w:val="2"/>
        </w:numPr>
        <w:spacing w:after="80"/>
      </w:pPr>
      <w:r>
        <w:rPr>
          <w:rFonts w:ascii="Arial" w:cs="Arial" w:eastAsia="Arial" w:hAnsi="Arial"/>
          <w:sz w:val="22"/>
          <w:szCs w:val="22"/>
        </w:rPr>
        <w:t xml:space="preserve">82% of small SA accounting firms still manually capture invoices and bank statements.</w:t>
      </w:r>
    </w:p>
    <w:p>
      <w:pPr>
        <w:pStyle w:val="ListParagraph"/>
        <w:numPr>
          <w:ilvl w:val="0"/>
          <w:numId w:val="2"/>
        </w:numPr>
        <w:spacing w:after="80"/>
      </w:pPr>
      <w:r>
        <w:rPr>
          <w:rFonts w:ascii="Arial" w:cs="Arial" w:eastAsia="Arial" w:hAnsi="Arial"/>
          <w:sz w:val="22"/>
          <w:szCs w:val="22"/>
        </w:rPr>
        <w:t xml:space="preserve">SARS provisional tax deadlines (Feb &amp; Aug) create 2-week crunch periods that burn out staff.</w:t>
      </w:r>
    </w:p>
    <w:p>
      <w:pPr>
        <w:pStyle w:val="ListParagraph"/>
        <w:numPr>
          <w:ilvl w:val="0"/>
          <w:numId w:val="2"/>
        </w:numPr>
        <w:spacing w:after="80"/>
      </w:pPr>
      <w:r>
        <w:rPr>
          <w:rFonts w:ascii="Arial" w:cs="Arial" w:eastAsia="Arial" w:hAnsi="Arial"/>
          <w:sz w:val="22"/>
          <w:szCs w:val="22"/>
        </w:rPr>
        <w:t xml:space="preserve">Client query handling takes 30–40% of an accountant's billable time.</w:t>
      </w:r>
    </w:p>
    <w:p>
      <w:pPr>
        <w:pStyle w:val="ListParagraph"/>
        <w:numPr>
          <w:ilvl w:val="0"/>
          <w:numId w:val="2"/>
        </w:numPr>
        <w:spacing w:after="80"/>
      </w:pPr>
      <w:r>
        <w:rPr>
          <w:rFonts w:ascii="Arial" w:cs="Arial" w:eastAsia="Arial" w:hAnsi="Arial"/>
          <w:sz w:val="22"/>
          <w:szCs w:val="22"/>
        </w:rPr>
        <w:t xml:space="preserve">Staff turnover in small practices is 25%+ annually — institutional knowledge walks out the door.</w:t>
      </w:r>
    </w:p>
    <w:p>
      <w:pPr>
        <w:spacing w:after="100" w:before="200"/>
      </w:pPr>
      <w:r>
        <w:rPr>
          <w:rFonts w:ascii="Arial" w:cs="Arial" w:eastAsia="Arial" w:hAnsi="Arial"/>
          <w:b/>
          <w:bCs/>
          <w:color w:val="1A56A0"/>
          <w:sz w:val="24"/>
          <w:szCs w:val="24"/>
        </w:rPr>
        <w:t xml:space="preserve">The Solution</w:t>
      </w:r>
    </w:p>
    <w:p>
      <w:pPr>
        <w:spacing w:after="120"/>
      </w:pPr>
      <w:r>
        <w:rPr>
          <w:rFonts w:ascii="Arial" w:cs="Arial" w:eastAsia="Arial" w:hAnsi="Arial"/>
          <w:sz w:val="22"/>
          <w:szCs w:val="22"/>
        </w:rPr>
        <w:t xml:space="preserve">You build and deploy an AI-powered operations system for small accounting firms: OCR invoice capture, AI bank reconciliation assistance, automated client query responses (WhatsApp bot), SARS deadline reminders, document classification, and payslip generation. You maintain the system, train staff, and update workflows when SARS rules change.</w:t>
      </w:r>
    </w:p>
    <w:p>
      <w:pPr>
        <w:spacing w:after="160"/>
      </w:pPr>
      <w:r>
        <w:t xml:space="preserve"/>
      </w:r>
    </w:p>
    <w:p>
      <w:pPr>
        <w:pStyle w:val="Heading2"/>
      </w:pPr>
      <w:r>
        <w:rPr>
          <w:rFonts w:ascii="Arial" w:cs="Arial" w:eastAsia="Arial" w:hAnsi="Arial"/>
          <w:b/>
          <w:bCs/>
          <w:color w:val="1B2A4A"/>
          <w:sz w:val="28"/>
          <w:szCs w:val="28"/>
        </w:rPr>
        <w:t xml:space="preserve">Services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2080"/>
        <w:gridCol w:w="2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c>
          <w:tcPr>
            <w:tcW w:type="dxa" w:w="2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Saved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Invoice OCR &amp; capture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Dext / Hubdoc + AI</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 hrs/week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bank recon assist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Xero AI + custom GPT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hrs/week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WhatsApp client queries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WATI + OpenAI</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 hrs/week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SARS deadline tracker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Supabase app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hrs/week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Payslip generation</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PaySpace API + AI</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hrs/week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Bundle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of above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 hrs/week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R9,500</w:t>
            </w:r>
          </w:p>
        </w:tc>
      </w:tr>
    </w:tbl>
    <w:p>
      <w:pPr>
        <w:spacing w:after="160"/>
      </w:pPr>
      <w:r>
        <w:t xml:space="preserve"/>
      </w:r>
    </w:p>
    <w:p>
      <w:pPr>
        <w:pStyle w:val="Heading2"/>
      </w:pPr>
      <w:r>
        <w:rPr>
          <w:rFonts w:ascii="Arial" w:cs="Arial" w:eastAsia="Arial" w:hAnsi="Arial"/>
          <w:b/>
          <w:bCs/>
          <w:color w:val="1B2A4A"/>
          <w:sz w:val="28"/>
          <w:szCs w:val="28"/>
        </w:rPr>
        <w:t xml:space="preserve">Target Market — South Africa</w:t>
      </w:r>
    </w:p>
    <w:p>
      <w:pPr>
        <w:pStyle w:val="ListParagraph"/>
        <w:numPr>
          <w:ilvl w:val="0"/>
          <w:numId w:val="2"/>
        </w:numPr>
        <w:spacing w:after="80"/>
      </w:pPr>
      <w:r>
        <w:rPr>
          <w:rFonts w:ascii="Arial" w:cs="Arial" w:eastAsia="Arial" w:hAnsi="Arial"/>
          <w:sz w:val="22"/>
          <w:szCs w:val="22"/>
        </w:rPr>
        <w:t xml:space="preserve">SAICA members: 28,000+ Chartered Accountants (CAs) — top decision makers.</w:t>
      </w:r>
    </w:p>
    <w:p>
      <w:pPr>
        <w:pStyle w:val="ListParagraph"/>
        <w:numPr>
          <w:ilvl w:val="0"/>
          <w:numId w:val="2"/>
        </w:numPr>
        <w:spacing w:after="80"/>
      </w:pPr>
      <w:r>
        <w:rPr>
          <w:rFonts w:ascii="Arial" w:cs="Arial" w:eastAsia="Arial" w:hAnsi="Arial"/>
          <w:sz w:val="22"/>
          <w:szCs w:val="22"/>
        </w:rPr>
        <w:t xml:space="preserve">SAIPA members: 10,000+ Professional Accountants — underserved middle market.</w:t>
      </w:r>
    </w:p>
    <w:p>
      <w:pPr>
        <w:pStyle w:val="ListParagraph"/>
        <w:numPr>
          <w:ilvl w:val="0"/>
          <w:numId w:val="2"/>
        </w:numPr>
        <w:spacing w:after="80"/>
      </w:pPr>
      <w:r>
        <w:rPr>
          <w:rFonts w:ascii="Arial" w:cs="Arial" w:eastAsia="Arial" w:hAnsi="Arial"/>
          <w:sz w:val="22"/>
          <w:szCs w:val="22"/>
        </w:rPr>
        <w:t xml:space="preserve">IAC members: 7,000+ Independent accounting firms — most price-sensitive but highest pain.</w:t>
      </w:r>
    </w:p>
    <w:p>
      <w:pPr>
        <w:pStyle w:val="ListParagraph"/>
        <w:numPr>
          <w:ilvl w:val="0"/>
          <w:numId w:val="2"/>
        </w:numPr>
        <w:spacing w:after="80"/>
      </w:pPr>
      <w:r>
        <w:rPr>
          <w:rFonts w:ascii="Arial" w:cs="Arial" w:eastAsia="Arial" w:hAnsi="Arial"/>
          <w:sz w:val="22"/>
          <w:szCs w:val="22"/>
        </w:rPr>
        <w:t xml:space="preserve">Target sweet spot: 2–8 person practice, 50–200 clients, using Xero or QuickBooks Online.</w:t>
      </w:r>
    </w:p>
    <w:p>
      <w:pPr>
        <w:spacing w:after="160"/>
      </w:pPr>
      <w:r>
        <w:t xml:space="preserve"/>
      </w:r>
    </w:p>
    <w:p>
      <w:pPr>
        <w:pStyle w:val="Heading2"/>
      </w:pPr>
      <w:r>
        <w:rPr>
          <w:rFonts w:ascii="Arial" w:cs="Arial" w:eastAsia="Arial" w:hAnsi="Arial"/>
          <w:b/>
          <w:bCs/>
          <w:color w:val="1B2A4A"/>
          <w:sz w:val="28"/>
          <w:szCs w:val="28"/>
        </w:rPr>
        <w:t xml:space="preserve">Revenue Model</w:t>
      </w:r>
    </w:p>
    <w:p>
      <w:pPr>
        <w:pStyle w:val="ListParagraph"/>
        <w:numPr>
          <w:ilvl w:val="0"/>
          <w:numId w:val="2"/>
        </w:numPr>
        <w:spacing w:after="80"/>
      </w:pPr>
      <w:r>
        <w:rPr>
          <w:rFonts w:ascii="Arial" w:cs="Arial" w:eastAsia="Arial" w:hAnsi="Arial"/>
          <w:sz w:val="22"/>
          <w:szCs w:val="22"/>
        </w:rPr>
        <w:t xml:space="preserve">Monthly retainer: R8,000–R20,000/month per firm based on client volume</w:t>
      </w:r>
    </w:p>
    <w:p>
      <w:pPr>
        <w:pStyle w:val="ListParagraph"/>
        <w:numPr>
          <w:ilvl w:val="0"/>
          <w:numId w:val="2"/>
        </w:numPr>
        <w:spacing w:after="80"/>
      </w:pPr>
      <w:r>
        <w:rPr>
          <w:rFonts w:ascii="Arial" w:cs="Arial" w:eastAsia="Arial" w:hAnsi="Arial"/>
          <w:sz w:val="22"/>
          <w:szCs w:val="22"/>
        </w:rPr>
        <w:t xml:space="preserve">Setup fee: R5,000–R15,000 (covers workflow building, staff training, tool integration)</w:t>
      </w:r>
    </w:p>
    <w:p>
      <w:pPr>
        <w:pStyle w:val="ListParagraph"/>
        <w:numPr>
          <w:ilvl w:val="0"/>
          <w:numId w:val="2"/>
        </w:numPr>
        <w:spacing w:after="80"/>
      </w:pPr>
      <w:r>
        <w:rPr>
          <w:rFonts w:ascii="Arial" w:cs="Arial" w:eastAsia="Arial" w:hAnsi="Arial"/>
          <w:sz w:val="22"/>
          <w:szCs w:val="22"/>
        </w:rPr>
        <w:t xml:space="preserve">Add-on: R500/month for each additional 50-client block above baseline</w:t>
      </w:r>
    </w:p>
    <w:p>
      <w:pPr>
        <w:pStyle w:val="ListParagraph"/>
        <w:numPr>
          <w:ilvl w:val="0"/>
          <w:numId w:val="2"/>
        </w:numPr>
        <w:spacing w:after="80"/>
      </w:pPr>
      <w:r>
        <w:rPr>
          <w:rFonts w:ascii="Arial" w:cs="Arial" w:eastAsia="Arial" w:hAnsi="Arial"/>
          <w:sz w:val="22"/>
          <w:szCs w:val="22"/>
        </w:rPr>
        <w:t xml:space="preserve">Year 1 target: 10 firms at avg R12,000/month = R120,000 MRR</w:t>
      </w:r>
    </w:p>
    <w:p>
      <w:pPr>
        <w:spacing w:after="160"/>
      </w:pPr>
      <w:r>
        <w:t xml:space="preserve"/>
      </w:r>
    </w:p>
    <w:p>
      <w:pPr>
        <w:pStyle w:val="Heading2"/>
      </w:pPr>
      <w:r>
        <w:rPr>
          <w:rFonts w:ascii="Arial" w:cs="Arial" w:eastAsia="Arial" w:hAnsi="Arial"/>
          <w:b/>
          <w:bCs/>
          <w:color w:val="1B2A4A"/>
          <w:sz w:val="28"/>
          <w:szCs w:val="28"/>
        </w:rPr>
        <w:t xml:space="preserve">Market Research — Current State (2025/2026)</w:t>
      </w:r>
    </w:p>
    <w:p>
      <w:pPr>
        <w:pStyle w:val="ListParagraph"/>
        <w:numPr>
          <w:ilvl w:val="0"/>
          <w:numId w:val="2"/>
        </w:numPr>
        <w:spacing w:after="80"/>
      </w:pPr>
      <w:r>
        <w:rPr>
          <w:rFonts w:ascii="Arial" w:cs="Arial" w:eastAsia="Arial" w:hAnsi="Arial"/>
          <w:sz w:val="22"/>
          <w:szCs w:val="22"/>
        </w:rPr>
        <w:t xml:space="preserve">Xero reports 450,000+ SA users — major SaaS adoption in accounting is done.</w:t>
      </w:r>
    </w:p>
    <w:p>
      <w:pPr>
        <w:pStyle w:val="ListParagraph"/>
        <w:numPr>
          <w:ilvl w:val="0"/>
          <w:numId w:val="2"/>
        </w:numPr>
        <w:spacing w:after="80"/>
      </w:pPr>
      <w:r>
        <w:rPr>
          <w:rFonts w:ascii="Arial" w:cs="Arial" w:eastAsia="Arial" w:hAnsi="Arial"/>
          <w:sz w:val="22"/>
          <w:szCs w:val="22"/>
        </w:rPr>
        <w:t xml:space="preserve">Dext (formerly Receipt Bank) has 8,000+ SA accounting firms on its platform — automation desire proven.</w:t>
      </w:r>
    </w:p>
    <w:p>
      <w:pPr>
        <w:pStyle w:val="ListParagraph"/>
        <w:numPr>
          <w:ilvl w:val="0"/>
          <w:numId w:val="2"/>
        </w:numPr>
        <w:spacing w:after="80"/>
      </w:pPr>
      <w:r>
        <w:rPr>
          <w:rFonts w:ascii="Arial" w:cs="Arial" w:eastAsia="Arial" w:hAnsi="Arial"/>
          <w:sz w:val="22"/>
          <w:szCs w:val="22"/>
        </w:rPr>
        <w:t xml:space="preserve">SARS e-Filing handles 10M+ submissions annually — digital infrastructure exists.</w:t>
      </w:r>
    </w:p>
    <w:p>
      <w:pPr>
        <w:pStyle w:val="ListParagraph"/>
        <w:numPr>
          <w:ilvl w:val="0"/>
          <w:numId w:val="2"/>
        </w:numPr>
        <w:spacing w:after="80"/>
      </w:pPr>
      <w:r>
        <w:rPr>
          <w:rFonts w:ascii="Arial" w:cs="Arial" w:eastAsia="Arial" w:hAnsi="Arial"/>
          <w:sz w:val="22"/>
          <w:szCs w:val="22"/>
        </w:rPr>
        <w:t xml:space="preserve">AI in accounting market globally growing at 40% CAGR — SA is 2 years behind, meaning opportunity is wide open.</w:t>
      </w:r>
    </w:p>
    <w:p>
      <w:pPr>
        <w:pStyle w:val="ListParagraph"/>
        <w:numPr>
          <w:ilvl w:val="0"/>
          <w:numId w:val="2"/>
        </w:numPr>
        <w:spacing w:after="80"/>
      </w:pPr>
      <w:r>
        <w:rPr>
          <w:rFonts w:ascii="Arial" w:cs="Arial" w:eastAsia="Arial" w:hAnsi="Arial"/>
          <w:sz w:val="22"/>
          <w:szCs w:val="22"/>
        </w:rPr>
        <w:t xml:space="preserve">POPIA requires proper data handling for client financial records — build compliance into every workflow.</w:t>
      </w:r>
    </w:p>
    <w:p>
      <w:pPr>
        <w:spacing w:after="160"/>
      </w:pPr>
      <w:r>
        <w:t xml:space="preserve"/>
      </w:r>
    </w:p>
    <w:p>
      <w:pPr>
        <w:pStyle w:val="Heading2"/>
      </w:pPr>
      <w:r>
        <w:rPr>
          <w:rFonts w:ascii="Arial" w:cs="Arial" w:eastAsia="Arial" w:hAnsi="Arial"/>
          <w:b/>
          <w:bCs/>
          <w:color w:val="1B2A4A"/>
          <w:sz w:val="28"/>
          <w:szCs w:val="28"/>
        </w:rPr>
        <w:t xml:space="preserve">3-Year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Firms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Monthly Retainer</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R11,000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R14,000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 (MRR)</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R66,000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R144,000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R420,000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Tool + VA Costs</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R90,000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Monthly Profit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R46,000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R104,000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R330,000</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SARS regulation changes break workflows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 SARS website weekly, update within 48hrs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Accountants fear AI replaces their jobs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 as "AI assistant", not replacement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data breach/POPIA violation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Enterprise-grade data handling, NDA with every client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Big tech (Xero, Sage) adds native AI features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value in service and trust, not just tools</w:t>
            </w:r>
          </w:p>
        </w:tc>
      </w:tr>
    </w:tbl>
    <w:p>
      <w:pPr>
        <w:spacing w:after="160"/>
      </w:pPr>
      <w:r>
        <w:t xml:space="preserve"/>
      </w:r>
    </w:p>
    <w:p>
      <w:pPr>
        <w:pStyle w:val="Heading2"/>
      </w:pPr>
      <w:r>
        <w:rPr>
          <w:rFonts w:ascii="Arial" w:cs="Arial" w:eastAsia="Arial" w:hAnsi="Arial"/>
          <w:b/>
          <w:bCs/>
          <w:color w:val="1B2A4A"/>
          <w:sz w:val="28"/>
          <w:szCs w:val="28"/>
        </w:rPr>
        <w:t xml:space="preserve">90-Day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Map top 5 pain points of SA accounting firms via SAIPA/SAICA LinkedIn groups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Pain point clarity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demo: AI invoice capture + WhatsApp query bot for 1 firm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demo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Approach 3 practices in your network for free 30-day pilot</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 study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2 pilots to paid at R10,000/month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 MRR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Speak at a SAIPA chapter event or write LinkedIn article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R60,000 MRR</w:t>
            </w:r>
          </w:p>
        </w:tc>
      </w:tr>
    </w:tbl>
    <w:p>
      <w:pPr>
        <w:spacing w:after="160"/>
      </w:pPr>
      <w:r>
        <w:t xml:space="preserve"/>
      </w:r>
    </w:p>
    <w:p>
      <w:pPr>
        <w:spacing w:after="120"/>
      </w:pPr>
      <w:r>
        <w:rPr>
          <w:rFonts w:ascii="Arial" w:cs="Arial" w:eastAsia="Arial" w:hAnsi="Arial"/>
          <w:sz w:val="22"/>
          <w:szCs w:val="22"/>
        </w:rPr>
        <w:t xml:space="preserve">RESOURCE TIP: Join the SAIPA LinkedIn group (5,000+ members) and SAICA Facebook group. Post one useful AI tip per week — inbound leads will come.</w:t>
      </w:r>
    </w:p>
    <w:p>
      <w:pPr>
        <w:spacing w:before="400"/>
        <w:jc w:val="center"/>
      </w:pPr>
      <w:r>
        <w:rPr>
          <w:rFonts w:ascii="Arial" w:cs="Arial" w:eastAsia="Arial" w:hAnsi="Arial"/>
          <w:b/>
          <w:bCs/>
          <w:color w:val="D4A017"/>
          <w:sz w:val="18"/>
          <w:szCs w:val="18"/>
        </w:rPr>
        <w:t xml:space="preserve">— END OF BUSINESS PLAN: AI FOR ACCOUNTANTS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2026-04-07T06:59:44.345Z</dcterms:created>
  <dcterms:modified xsi:type="dcterms:W3CDTF">2026-04-07T06:59:44.346Z</dcterms:modified>
</cp:coreProperties>
</file>

<file path=docProps/custom.xml><?xml version="1.0" encoding="utf-8"?>
<Properties xmlns="http://schemas.openxmlformats.org/officeDocument/2006/custom-properties" xmlns:vt="http://schemas.openxmlformats.org/officeDocument/2006/docPropsVTypes"/>
</file>