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4" w:name="全部研究输出下载目录"/>
    <w:p>
      <w:pPr>
        <w:pStyle w:val="Heading1"/>
      </w:pPr>
      <w:r>
        <w:t xml:space="preserve">全部研究输出下载目录</w:t>
      </w:r>
    </w:p>
    <w:p>
      <w:pPr>
        <w:pStyle w:val="FirstParagraph"/>
      </w:pPr>
      <w:r>
        <w:t xml:space="preserve">本文件用于说明交付包中的文件位置。全部材料整理于2026年10月16日；本次只转换、汇编和打包已有研究输出，没有改变冻结数据、模型或论文结论。</w:t>
      </w:r>
    </w:p>
    <w:bookmarkStart w:id="20" w:name="主要阅读文件"/>
    <w:p>
      <w:pPr>
        <w:pStyle w:val="Heading2"/>
      </w:pPr>
      <w:r>
        <w:t xml:space="preserve">主要阅读文件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格式与说明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英文论文全文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01_Manuscript/MANUSCRIPT_EN.docx</w:t>
            </w:r>
            <w:r>
              <w:t xml:space="preserve">；</w:t>
            </w:r>
            <w:r>
              <w:rPr>
                <w:rStyle w:val="VerbatimChar"/>
              </w:rPr>
              <w:t xml:space="preserve">MANUSCRIPT_EN.pdf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可编辑Word及阅读PDF，包含3张图、3张表和公式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英文补充材料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02_Supplementary/SUPPLEMENTARY_INFORMATION.docx</w:t>
            </w:r>
            <w:r>
              <w:t xml:space="preserve">；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完整年度数据表、分解对照、舍入分析和模型诊断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全部研究成果汇编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03_Research_Reports/COMPLETE_RESEARCH_COMPENDIUM.docx</w:t>
            </w:r>
            <w:r>
              <w:t xml:space="preserve">；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汇集论文、补充材料、说明、来源与口径核验、引用与政策报告、历史方案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官方数据与数值结果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04_Data_and_Code/RESEARCH_DATA_AND_RESULTS.xlsx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分工作表保留官方值、派生结果、情景参数和原始CSV字符串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可复现数据与代码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04_Data_and_Code/REPLICATION_PACKAGE.zip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已完成独立目录离线复算的原交付包，含运行说明和核验记录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图表合集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05_Figures/FIGURE_COLLECTION.docx</w:t>
            </w:r>
            <w:r>
              <w:t xml:space="preserve">；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三张论文图；PDF为三个原始矢量PDF的合并版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单幅图与源数据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05_Figures/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PDF、SVG、PNG、源CSV及图表QA记录</w:t>
            </w:r>
          </w:p>
        </w:tc>
      </w:tr>
    </w:tbl>
    <w:bookmarkEnd w:id="20"/>
    <w:bookmarkStart w:id="21" w:name="单独的说明和核验报告"/>
    <w:p>
      <w:pPr>
        <w:pStyle w:val="Heading2"/>
      </w:pPr>
      <w:r>
        <w:t xml:space="preserve">单独的说明和核验报告</w:t>
      </w:r>
    </w:p>
    <w:p>
      <w:pPr>
        <w:pStyle w:val="FirstParagraph"/>
      </w:pPr>
      <w:r>
        <w:rPr>
          <w:rStyle w:val="VerbatimChar"/>
        </w:rPr>
        <w:t xml:space="preserve">03_Research_Reports/</w:t>
      </w:r>
      <w:r>
        <w:t xml:space="preserve"> </w:t>
      </w:r>
      <w:r>
        <w:t xml:space="preserve">内还提供16份单独Word报告及Markdown原文，依次包括：作者说明、最终核验、原稿审计、统计口径、内部方法核对、内部来源核对、引用及政策核对、期刊官方政策、已核验参考文献、论断—证据映射、方法来源、Sobol文档、数据状态、复现说明、图表QA、当前研究状态。</w:t>
      </w:r>
    </w:p>
    <w:p>
      <w:pPr>
        <w:pStyle w:val="BodyText"/>
      </w:pPr>
      <w:r>
        <w:t xml:space="preserve">内部审查报告是对应修订前快照；已经处理的问题以“最终核验与审查问题处置”为准。这些报告不是外部同行评审或录用决定。</w:t>
      </w:r>
    </w:p>
    <w:bookmarkEnd w:id="21"/>
    <w:bookmarkStart w:id="22" w:name="历史方案"/>
    <w:p>
      <w:pPr>
        <w:pStyle w:val="Heading2"/>
      </w:pPr>
      <w:r>
        <w:t xml:space="preserve">历史方案</w:t>
      </w:r>
    </w:p>
    <w:p>
      <w:pPr>
        <w:pStyle w:val="FirstParagraph"/>
      </w:pPr>
      <w:r>
        <w:rPr>
          <w:rStyle w:val="VerbatimChar"/>
        </w:rPr>
        <w:t xml:space="preserve">06_Historical_Protocols/</w:t>
      </w:r>
      <w:r>
        <w:t xml:space="preserve"> </w:t>
      </w:r>
      <w:r>
        <w:t xml:space="preserve">提供分析前英文研究方案与方法设计的Word及Markdown版本，并在文首注明归档状态。当前研究已完成，历史文件中的待办叙述不代表当前状态。</w:t>
      </w:r>
    </w:p>
    <w:bookmarkEnd w:id="22"/>
    <w:bookmarkStart w:id="23" w:name="使用与核验"/>
    <w:p>
      <w:pPr>
        <w:pStyle w:val="Heading2"/>
      </w:pPr>
      <w:r>
        <w:t xml:space="preserve">使用与核验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FILE_MANIFEST.csv</w:t>
      </w:r>
      <w:r>
        <w:t xml:space="preserve"> </w:t>
      </w:r>
      <w:r>
        <w:t xml:space="preserve">列出交付文件的相对路径、字节数及SHA-256，便于解压后核对完整性。</w:t>
      </w:r>
    </w:p>
    <w:p>
      <w:pPr>
        <w:pStyle w:val="Compact"/>
        <w:numPr>
          <w:ilvl w:val="0"/>
          <w:numId w:val="1001"/>
        </w:numPr>
      </w:pPr>
      <w:r>
        <w:t xml:space="preserve">官方数据的原始网址、PDF页码、引文、口径说明和文件哈希保存在Excel及复现包中。</w:t>
      </w:r>
    </w:p>
    <w:p>
      <w:pPr>
        <w:pStyle w:val="Compact"/>
        <w:numPr>
          <w:ilvl w:val="0"/>
          <w:numId w:val="1001"/>
        </w:numPr>
      </w:pPr>
      <w:r>
        <w:t xml:space="preserve">本文以中国境内注册航空运输企业为边界；燃油总量是官方活动量与强度指标的重构估计，情景参数属于明确假设，不能解释为实际发生概率或发动机因果效果。</w:t>
      </w:r>
    </w:p>
    <w:p>
      <w:pPr>
        <w:pStyle w:val="Compact"/>
        <w:numPr>
          <w:ilvl w:val="0"/>
          <w:numId w:val="1001"/>
        </w:numPr>
      </w:pPr>
      <w:r>
        <w:t xml:space="preserve">原始作者信息、单位、基金、利益冲突、原论文关系及最终作者审核仍须真实作者确认；当前未公开发布或投稿。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2026-10-16T04:59:26Z</dcterms:created>
  <dcterms:modified xsi:type="dcterms:W3CDTF">2026-10-16T04:59:26Z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