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英文研究稿交付说明"/>
    <w:p>
      <w:pPr>
        <w:pStyle w:val="Heading1"/>
      </w:pPr>
      <w:r>
        <w:t xml:space="preserve">英文研究稿交付说明</w:t>
      </w:r>
    </w:p>
    <w:p>
      <w:pPr>
        <w:pStyle w:val="FirstParagraph"/>
      </w:pPr>
      <w:r>
        <w:t xml:space="preserve">已完成英文全文、补充材料、三张可编辑矢量图及可复算代码。本文是根据附件研究主题重新建立公开数据实证的英文研究稿，不是原论文的逐章翻译。</w:t>
      </w:r>
    </w:p>
    <w:bookmarkStart w:id="20" w:name="研究主线"/>
    <w:p>
      <w:pPr>
        <w:pStyle w:val="Heading2"/>
      </w:pPr>
      <w:r>
        <w:t xml:space="preserve">研究主线</w:t>
      </w:r>
    </w:p>
    <w:p>
      <w:pPr>
        <w:pStyle w:val="FirstParagraph"/>
      </w:pPr>
      <w:r>
        <w:t xml:space="preserve">题目：</w:t>
      </w:r>
      <w:r>
        <w:rPr>
          <w:i/>
          <w:iCs/>
        </w:rPr>
        <w:t xml:space="preserve">Efficiency Gains, Growing Fuel Demand and Deployment Frontiers in China’s Commercial Aviation</w:t>
      </w:r>
      <w:r>
        <w:t xml:space="preserve">。</w:t>
      </w:r>
    </w:p>
    <w:p>
      <w:pPr>
        <w:pStyle w:val="BodyText"/>
      </w:pPr>
      <w:r>
        <w:t xml:space="preserve">实证对象由原稿的“航空发动机研制能力”收窄到“中国境内注册航空运输企业的运输增长与燃油效率”，保留设计—试验—制造协同作为部署时滞与扩散约束的理论动机。未沿用原稿缺少可复核原始记录的问卷、能力指数、路径系数或仿真参数，也未用民航总体油耗推断国产发动机的因果效果。</w:t>
      </w:r>
    </w:p>
    <w:bookmarkEnd w:id="20"/>
    <w:bookmarkStart w:id="21" w:name="实际完成的研究"/>
    <w:p>
      <w:pPr>
        <w:pStyle w:val="Heading2"/>
      </w:pPr>
      <w:r>
        <w:t xml:space="preserve">实际完成的研究</w:t>
      </w:r>
    </w:p>
    <w:p>
      <w:pPr>
        <w:pStyle w:val="Compact"/>
        <w:numPr>
          <w:ilvl w:val="0"/>
          <w:numId w:val="1001"/>
        </w:numPr>
      </w:pPr>
      <w:r>
        <w:t xml:space="preserve">采集并核验2015—2025年11组民航局官方周转量、吨公里油耗；早期缺失油耗未补造。国家统计局年鉴用于部分年份周转量的跨出版物核对，底层资料仍源自民航局，并不是第二套物理测量。</w:t>
      </w:r>
    </w:p>
    <w:p>
      <w:pPr>
        <w:pStyle w:val="Compact"/>
        <w:numPr>
          <w:ilvl w:val="0"/>
          <w:numId w:val="1001"/>
        </w:numPr>
      </w:pPr>
      <w:r>
        <w:t xml:space="preserve">因2017年统计处理和审核规则变化，主分析采用2017—2025年；较早年份保留在扩展记录及补充分析中。</w:t>
      </w:r>
    </w:p>
    <w:p>
      <w:pPr>
        <w:pStyle w:val="Compact"/>
        <w:numPr>
          <w:ilvl w:val="0"/>
          <w:numId w:val="1001"/>
        </w:numPr>
      </w:pPr>
      <w:r>
        <w:t xml:space="preserve">完成链式LMDI分解、舍入敏感性、非线性部署模型、解析可行边界、Sobol随机化准蒙特卡洛情景与精确参数角点检验。</w:t>
      </w:r>
    </w:p>
    <w:p>
      <w:pPr>
        <w:pStyle w:val="Compact"/>
        <w:numPr>
          <w:ilvl w:val="0"/>
          <w:numId w:val="1001"/>
        </w:numPr>
      </w:pPr>
      <w:r>
        <w:t xml:space="preserve">实现并运行贝叶斯收缩漂移模型与两个基线，但扩展样本只有两个可评价年份，主窗口没有足够样本外检验。因此明确作为诊断，不宣称预测优势，也不据此校准未来技术参数。</w:t>
      </w:r>
    </w:p>
    <w:p>
      <w:pPr>
        <w:pStyle w:val="Compact"/>
        <w:numPr>
          <w:ilvl w:val="0"/>
          <w:numId w:val="1001"/>
        </w:numPr>
      </w:pPr>
      <w:r>
        <w:t xml:space="preserve">核验并使用20条参考来源，包含2025—2026年研究，以及官方统计、政策和方法资料。对不同文献的实际阅读范围保留记录；Ang（2005）只完成书目核验，没有声称读取全文。</w:t>
      </w:r>
    </w:p>
    <w:bookmarkEnd w:id="21"/>
    <w:bookmarkStart w:id="22" w:name="核心结果及解释"/>
    <w:p>
      <w:pPr>
        <w:pStyle w:val="Heading2"/>
      </w:pPr>
      <w:r>
        <w:t xml:space="preserve">核心结果及解释</w:t>
      </w:r>
    </w:p>
    <w:p>
      <w:pPr>
        <w:pStyle w:val="FirstParagraph"/>
      </w:pPr>
      <w:r>
        <w:t xml:space="preserve">2017—2025年，运输周转量增长51.5%，吨公里油耗下降11.3%，按二者重构的燃油需求仍增长34.4%。链式分解中，强度改善抵消了活动扩张贡献的27.9%。燃油量是由官方四舍五入指标推算的估计，不是另行观测的官方燃油总量。</w:t>
      </w:r>
    </w:p>
    <w:p>
      <w:pPr>
        <w:pStyle w:val="BodyText"/>
      </w:pPr>
      <w:r>
        <w:t xml:space="preserve">仿真将“收益不够”和“部署不够快”分开。例如在假设年活动增长4%、基线油耗强度每年下降1%的情况下，要在2040年不超过2025年的燃油需求，即使完全采用也需要额外35.4%的效率收益。这是给定假设下的解析结果，不是对中国需求或某型发动机的预测。</w:t>
      </w:r>
    </w:p>
    <w:p>
      <w:pPr>
        <w:pStyle w:val="BodyText"/>
      </w:pPr>
      <w:r>
        <w:t xml:space="preserve">所有情景区间均已标为研究者压力测试假设。设计点达标占比不是现实达标概率；本文也没有得到完整生命周期减排、非二氧化碳气候影响或“气候中和”的结论。</w:t>
      </w:r>
    </w:p>
    <w:bookmarkEnd w:id="22"/>
    <w:bookmarkStart w:id="23" w:name="已做核查及其限度"/>
    <w:p>
      <w:pPr>
        <w:pStyle w:val="Heading2"/>
      </w:pPr>
      <w:r>
        <w:t xml:space="preserve">已做核查及其限度</w:t>
      </w:r>
    </w:p>
    <w:p>
      <w:pPr>
        <w:pStyle w:val="FirstParagraph"/>
      </w:pPr>
      <w:r>
        <w:t xml:space="preserve">主要数值、单位、来源页面、11份核心公报哈希、引用编号及图表数据已由同平台工作流程交叉核对。18项合成算术/模型边界检查和离线复现已通过；这些检查不构成实证观测。三张图的文字大小、碰撞与适用面板对齐检查通过。</w:t>
      </w:r>
    </w:p>
    <w:p>
      <w:pPr>
        <w:pStyle w:val="BodyText"/>
      </w:pPr>
      <w:r>
        <w:t xml:space="preserve">这些是辅助研究流程中的来源与技术核查，不是外部同行评审，也不能替代真实作者独立审阅。对Sustainability官网的核验支持范围和实质内容适配，但不能保证编辑初筛或录用。</w:t>
      </w:r>
    </w:p>
    <w:bookmarkEnd w:id="23"/>
    <w:bookmarkStart w:id="24" w:name="投稿前仍须作者完成"/>
    <w:p>
      <w:pPr>
        <w:pStyle w:val="Heading2"/>
      </w:pPr>
      <w:r>
        <w:t xml:space="preserve">投稿前仍须作者完成</w:t>
      </w:r>
    </w:p>
    <w:p>
      <w:pPr>
        <w:pStyle w:val="Compact"/>
        <w:numPr>
          <w:ilvl w:val="0"/>
          <w:numId w:val="1002"/>
        </w:numPr>
      </w:pPr>
      <w:r>
        <w:t xml:space="preserve">核实并补齐作者、单位、通讯作者、贡献、经费和利益冲突；不能由系统猜填。</w:t>
      </w:r>
    </w:p>
    <w:p>
      <w:pPr>
        <w:pStyle w:val="Compact"/>
        <w:numPr>
          <w:ilvl w:val="0"/>
          <w:numId w:val="1002"/>
        </w:numPr>
      </w:pPr>
      <w:r>
        <w:t xml:space="preserve">亲自审阅数据来源、统计口径、解释及引文，确认本文与既有学位论文/公开稿的关系，并作必要披露。</w:t>
      </w:r>
    </w:p>
    <w:p>
      <w:pPr>
        <w:pStyle w:val="Compact"/>
        <w:numPr>
          <w:ilvl w:val="0"/>
          <w:numId w:val="1002"/>
        </w:numPr>
      </w:pPr>
      <w:r>
        <w:t xml:space="preserve">根据期刊现行政策确认实质性生成式人工智能使用的披露及可核实的产品/版本信息。稿中没有替作者声明“已经完成独立核验”。</w:t>
      </w:r>
    </w:p>
    <w:p>
      <w:pPr>
        <w:pStyle w:val="Compact"/>
        <w:numPr>
          <w:ilvl w:val="0"/>
          <w:numId w:val="1002"/>
        </w:numPr>
      </w:pPr>
      <w:r>
        <w:t xml:space="preserve">将复现包作为补充材料，或先存入公共仓库后填写真实链接。当前没有替你上传GitHub、登记DOI、联系期刊或提交论文。</w:t>
      </w:r>
    </w:p>
    <w:p>
      <w:pPr>
        <w:pStyle w:val="FirstParagraph"/>
      </w:pPr>
      <w:r>
        <w:t xml:space="preserve">建议优先阅读英文摘要、Section 2.1统计边界、Table 3和Figure 3，确认研究对象和情景假设符合你的投稿意图。然后再完成作者声明和正式提交。</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2026-10-16T04:58:22Z</dcterms:created>
  <dcterms:modified xsi:type="dcterms:W3CDTF">2026-10-16T04:58:22Z</dcterms:modified>
</cp:coreProperties>
</file>

<file path=docProps/custom.xml><?xml version="1.0" encoding="utf-8"?>
<Properties xmlns="http://schemas.openxmlformats.org/officeDocument/2006/custom-properties" xmlns:vt="http://schemas.openxmlformats.org/officeDocument/2006/docPropsVTypes"/>
</file>