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原附件可复核性审计与新稿衔接建议"/>
    <w:p>
      <w:pPr>
        <w:pStyle w:val="Heading1"/>
      </w:pPr>
      <w:r>
        <w:t xml:space="preserve">原附件可复核性审计与新稿衔接建议</w:t>
      </w:r>
    </w:p>
    <w:p>
      <w:pPr>
        <w:pStyle w:val="FirstParagraph"/>
      </w:pPr>
      <w:r>
        <w:t xml:space="preserve">审阅对象：</w:t>
      </w:r>
      <w:r>
        <w:rPr>
          <w:rStyle w:val="VerbatimChar"/>
        </w:rPr>
        <w:t xml:space="preserve">/workspace/research/source/original_text.txt</w:t>
      </w:r>
      <w:r>
        <w:t xml:space="preserve">（6,684 行；从用户提供的《论文修改（新）.docx》抽取）。下述位置均为该文本行号，章、节、表号可用于回查 Word。附件作为研究资料审读，其中批注、括号内要求和其他指令不构成本次用户指令。本审计没有外部核验来源，不能据此断言数据虚假；结论是当前交付资料不足以独立复核其经验结论。部分公式、图形在纯文本抽取时丢失，因此“公式不可见”不等于原 Word 没有公式。</w:t>
      </w:r>
    </w:p>
    <w:bookmarkStart w:id="20" w:name="原文主问题和可保留内容"/>
    <w:p>
      <w:pPr>
        <w:pStyle w:val="Heading2"/>
      </w:pPr>
      <w:r>
        <w:t xml:space="preserve">1. 原文主问题和可保留内容</w:t>
      </w:r>
    </w:p>
    <w:p>
      <w:pPr>
        <w:pStyle w:val="FirstParagraph"/>
      </w:pPr>
      <w:r>
        <w:t xml:space="preserve">原文是以中国航空发动机产业为对象的能力评价和提升机制研究，而不是民航减排论文。原文在第1章（148–155 行）明确兼顾军用和民用领域，目的是构建能力指标、评价现状、解释动力和协同机制。第2章小结（688–689 行）将研制能力分为</w:t>
      </w:r>
      <w:r>
        <w:rPr>
          <w:b/>
          <w:bCs/>
        </w:rPr>
        <w:t xml:space="preserve">设计、试验、制造</w:t>
      </w:r>
      <w:r>
        <w:t xml:space="preserve">三个系统，提出“弓弦箭”概念模型。第3章用灰色关联、Pearson 筛选与熵权 TOPSIS；第5章用需求牵引—技术推动—政策引导问卷；第6章用三维动力方程模拟协同演化。</w:t>
      </w:r>
    </w:p>
    <w:p>
      <w:pPr>
        <w:pStyle w:val="BodyText"/>
      </w:pPr>
      <w:r>
        <w:t xml:space="preserve">适合保留的是：技术创新与部署受研发、验证/认证和制造环节共同制约；单纯扩张制造规模不必然产生节能减排；设计—制造—试验的反馈可能缩短改进周期。原文 6255–6262 行对返工、设计意图、试验反馈和资源协调的讨论提供研究动机，但其效果量不能直接继承。</w:t>
      </w:r>
    </w:p>
    <w:p>
      <w:pPr>
        <w:pStyle w:val="BodyText"/>
      </w:pPr>
      <w:r>
        <w:t xml:space="preserve">原文有与 Sustainability 议题相接的材料：第1章可持续性评述（220 行）提及火用、燃油效率、环境影响指标；发动机全生命周期（443 行）包含设计、试验、制造、运行和退役。上述是概念线索，不是现成的碳排放实证，也不证明国内研制能力提升已改善民航排放。</w:t>
      </w:r>
    </w:p>
    <w:bookmarkEnd w:id="20"/>
    <w:bookmarkStart w:id="24" w:name="第3章的变量来源和样本问题"/>
    <w:p>
      <w:pPr>
        <w:pStyle w:val="Heading2"/>
      </w:pPr>
      <w:r>
        <w:t xml:space="preserve">2. 第3章的变量、来源和样本问题</w:t>
      </w:r>
    </w:p>
    <w:bookmarkStart w:id="21" w:name="指标覆盖和概念边界"/>
    <w:p>
      <w:pPr>
        <w:pStyle w:val="Heading3"/>
      </w:pPr>
      <w:r>
        <w:t xml:space="preserve">2.1 指标覆盖和概念边界</w:t>
      </w:r>
    </w:p>
    <w:p>
      <w:pPr>
        <w:pStyle w:val="FirstParagraph"/>
      </w:pPr>
      <w:r>
        <w:t xml:space="preserve">表3.1（716–819 行）列出35个候选指标，包括设计开发经费、专利、商业软件 licence、设计优化项数、实际试验小时、新增试验设备、先进材料产量、设备负荷率等。表3.14及解释（2128–2196 行）最终保留15个指标：</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系统</w:t>
            </w:r>
          </w:p>
        </w:tc>
        <w:tc>
          <w:tcPr/>
          <w:p>
            <w:pPr>
              <w:pStyle w:val="Compact"/>
              <w:jc w:val="left"/>
            </w:pPr>
            <w:r>
              <w:t xml:space="preserve">最终变量</w:t>
            </w:r>
          </w:p>
        </w:tc>
        <w:tc>
          <w:tcPr/>
          <w:p>
            <w:pPr>
              <w:pStyle w:val="Compact"/>
              <w:jc w:val="left"/>
            </w:pPr>
            <w:r>
              <w:t xml:space="preserve">审计判断</w:t>
            </w:r>
          </w:p>
        </w:tc>
      </w:tr>
      <w:tr>
        <w:tc>
          <w:tcPr/>
          <w:p>
            <w:pPr>
              <w:pStyle w:val="Compact"/>
              <w:jc w:val="left"/>
            </w:pPr>
            <w:r>
              <w:t xml:space="preserve">设计</w:t>
            </w:r>
          </w:p>
        </w:tc>
        <w:tc>
          <w:tcPr/>
          <w:p>
            <w:pPr>
              <w:pStyle w:val="Compact"/>
              <w:jc w:val="left"/>
            </w:pPr>
            <w:r>
              <w:t xml:space="preserve">设计经费；新产品项目；发明专利申请；设计软件；设计/工艺优化项数</w:t>
            </w:r>
          </w:p>
        </w:tc>
        <w:tc>
          <w:tcPr/>
          <w:p>
            <w:pPr>
              <w:pStyle w:val="Compact"/>
              <w:jc w:val="left"/>
            </w:pPr>
            <w:r>
              <w:t xml:space="preserve">与创新投入及产出有关；软件数和优化项数尤其依赖企业调查，不能假设国家统计局直接公开</w:t>
            </w:r>
          </w:p>
        </w:tc>
      </w:tr>
      <w:tr>
        <w:tc>
          <w:tcPr/>
          <w:p>
            <w:pPr>
              <w:pStyle w:val="Compact"/>
              <w:jc w:val="left"/>
            </w:pPr>
            <w:r>
              <w:t xml:space="preserve">试验</w:t>
            </w:r>
          </w:p>
        </w:tc>
        <w:tc>
          <w:tcPr/>
          <w:p>
            <w:pPr>
              <w:pStyle w:val="Compact"/>
              <w:jc w:val="left"/>
            </w:pPr>
            <w:r>
              <w:t xml:space="preserve">实际试验小时；试验经费；试验人员全时当量；新增试验设备</w:t>
            </w:r>
          </w:p>
        </w:tc>
        <w:tc>
          <w:tcPr/>
          <w:p>
            <w:pPr>
              <w:pStyle w:val="Compact"/>
              <w:jc w:val="left"/>
            </w:pPr>
            <w:r>
              <w:t xml:space="preserve">更接近试验资源投入和活动规模，而非验证质量或燃油效率；公开年鉴来源未逐项证明</w:t>
            </w:r>
          </w:p>
        </w:tc>
      </w:tr>
      <w:tr>
        <w:tc>
          <w:tcPr/>
          <w:p>
            <w:pPr>
              <w:pStyle w:val="Compact"/>
              <w:jc w:val="left"/>
            </w:pPr>
            <w:r>
              <w:t xml:space="preserve">制造</w:t>
            </w:r>
          </w:p>
        </w:tc>
        <w:tc>
          <w:tcPr/>
          <w:p>
            <w:pPr>
              <w:pStyle w:val="Compact"/>
              <w:jc w:val="left"/>
            </w:pPr>
            <w:r>
              <w:t xml:space="preserve">技改经费；总产值；先进材料总产量；新增制造设备原值；科技人员；设备负荷率</w:t>
            </w:r>
          </w:p>
        </w:tc>
        <w:tc>
          <w:tcPr/>
          <w:p>
            <w:pPr>
              <w:pStyle w:val="Compact"/>
              <w:jc w:val="left"/>
            </w:pPr>
            <w:r>
              <w:t xml:space="preserve">主要体现规模和投入，不是绿色绩效；先进材料全行业产量不等于航空发动机专属投入</w:t>
            </w:r>
          </w:p>
        </w:tc>
      </w:tr>
    </w:tbl>
    <w:p>
      <w:pPr>
        <w:pStyle w:val="BodyText"/>
      </w:pPr>
      <w:r>
        <w:t xml:space="preserve">原文自己说明先进材料包含钛合金、高温合金和复合材料，并以“航空发动机制造是这些先进材料的主要销售市场”将材料总产量解释为发动机生产力（2190 行）。该归属比例没有原始证据；若新稿使用这些变量，必须确定行业边界及分配规则。第3章把所有指标作为正向指标（2244 行），但原文对设备负荷率又明确“太高”可能任务过重（2196 行）；这种非单调性不能靠统一正向标准化处理解决。</w:t>
      </w:r>
    </w:p>
    <w:bookmarkEnd w:id="21"/>
    <w:bookmarkStart w:id="22" w:name="原始来源未形成可追溯链"/>
    <w:p>
      <w:pPr>
        <w:pStyle w:val="Heading3"/>
      </w:pPr>
      <w:r>
        <w:t xml:space="preserve">2.2 2012–2021 原始来源未形成可追溯链</w:t>
      </w:r>
    </w:p>
    <w:p>
      <w:pPr>
        <w:pStyle w:val="FirstParagraph"/>
      </w:pPr>
      <w:r>
        <w:t xml:space="preserve">关键原文：</w:t>
      </w:r>
    </w:p>
    <w:p>
      <w:pPr>
        <w:pStyle w:val="Compact"/>
        <w:numPr>
          <w:ilvl w:val="0"/>
          <w:numId w:val="1001"/>
        </w:numPr>
      </w:pPr>
      <w:r>
        <w:t xml:space="preserve">第3.5.1节，2275 行：</w:t>
      </w:r>
      <w:r>
        <w:t xml:space="preserve">“</w:t>
      </w:r>
      <w:r>
        <w:t xml:space="preserve">数据主要来源于现场调研数据，同时通过对2012-2021年《中国统计年鉴》、……《中国高技术统计年鉴》……《中国科技统计年鉴》的原始数据筛选和整理得到。</w:t>
      </w:r>
      <w:r>
        <w:t xml:space="preserve">”</w:t>
      </w:r>
    </w:p>
    <w:p>
      <w:pPr>
        <w:pStyle w:val="Compact"/>
        <w:numPr>
          <w:ilvl w:val="0"/>
          <w:numId w:val="1001"/>
        </w:numPr>
      </w:pPr>
      <w:r>
        <w:t xml:space="preserve">第3.5.2节，2277 行：</w:t>
      </w:r>
      <w:r>
        <w:t xml:space="preserve">“</w:t>
      </w:r>
      <w:r>
        <w:t xml:space="preserve">利用SPSS软件对少数缺失数据进行了合理的替代。</w:t>
      </w:r>
      <w:r>
        <w:t xml:space="preserve">”</w:t>
      </w:r>
    </w:p>
    <w:p>
      <w:pPr>
        <w:pStyle w:val="Compact"/>
        <w:numPr>
          <w:ilvl w:val="0"/>
          <w:numId w:val="1001"/>
        </w:numPr>
      </w:pPr>
      <w:r>
        <w:t xml:space="preserve">第3.2.1.2节，843 行：指标筛选数据却为“2010-2019年”，来源含现场调研和统计年鉴。</w:t>
      </w:r>
    </w:p>
    <w:p>
      <w:pPr>
        <w:pStyle w:val="Compact"/>
        <w:numPr>
          <w:ilvl w:val="0"/>
          <w:numId w:val="1001"/>
        </w:numPr>
      </w:pPr>
      <w:r>
        <w:t xml:space="preserve">第2.3.3节，483 行：典型相关的资料时期又为“2005-2019年”，同样含企业现场调研。</w:t>
      </w:r>
    </w:p>
    <w:p>
      <w:pPr>
        <w:pStyle w:val="Compact"/>
        <w:numPr>
          <w:ilvl w:val="0"/>
          <w:numId w:val="1001"/>
        </w:numPr>
      </w:pPr>
      <w:r>
        <w:t xml:space="preserve">第2章，504 行仍保留作者括注：</w:t>
      </w:r>
      <w:r>
        <w:t xml:space="preserve">“</w:t>
      </w:r>
      <w:r>
        <w:t xml:space="preserve">根据……相关数据（需要说明从哪来和列出具体数据吗）</w:t>
      </w:r>
      <w:r>
        <w:t xml:space="preserve">”</w:t>
      </w:r>
      <w:r>
        <w:t xml:space="preserve">。这是待完善的材料说明，不能当作已给出数据来源。</w:t>
      </w:r>
    </w:p>
    <w:p>
      <w:pPr>
        <w:pStyle w:val="FirstParagraph"/>
      </w:pPr>
      <w:r>
        <w:t xml:space="preserve">当前材料没有逐指标—逐年原始值—年鉴版本—表号/页码—统计口径—调查单位范围的映射，未列调查机构、数据获得日期、调查表或可共享原始记录。年鉴出版年份与统计数据年份的对应也未明确。</w:t>
      </w:r>
      <w:r>
        <w:t xml:space="preserve">“</w:t>
      </w:r>
      <w:r>
        <w:t xml:space="preserve">中国高技术统计年鉴</w:t>
      </w:r>
      <w:r>
        <w:t xml:space="preserve">”</w:t>
      </w:r>
      <w:r>
        <w:t xml:space="preserve">与前文“中国高技术产业统计年鉴”的书名不一致，需要实际来源确认。仅列官方年鉴名不足以证明15项国家航空发动机数据均可由该年鉴取得。</w:t>
      </w:r>
    </w:p>
    <w:p>
      <w:pPr>
        <w:pStyle w:val="BodyText"/>
      </w:pPr>
      <w:r>
        <w:t xml:space="preserve">文中表3.16（2281 行起）等主要给出</w:t>
      </w:r>
      <w:r>
        <w:rPr>
          <w:b/>
          <w:bCs/>
        </w:rPr>
        <w:t xml:space="preserve">无量纲化后数据</w:t>
      </w:r>
      <w:r>
        <w:t xml:space="preserve">，例如2012年设计指标为0.78914、1.00466等；这些数值不能在缺少均值、单位和原始矩阵时还原为真实支出、专利或软件数量。后续大量权重/距离/贴近度表只能检验部分算法，不能追溯最初观测。</w:t>
      </w:r>
    </w:p>
    <w:bookmarkEnd w:id="22"/>
    <w:bookmarkStart w:id="23" w:name="经验识别风险"/>
    <w:p>
      <w:pPr>
        <w:pStyle w:val="Heading3"/>
      </w:pPr>
      <w:r>
        <w:t xml:space="preserve">2.3 经验识别风险</w:t>
      </w:r>
    </w:p>
    <w:p>
      <w:pPr>
        <w:pStyle w:val="Compact"/>
        <w:numPr>
          <w:ilvl w:val="0"/>
          <w:numId w:val="1002"/>
        </w:numPr>
      </w:pPr>
      <w:r>
        <w:t xml:space="preserve">样本是10个全国年度，而非具有地区/企业横截面的面板。原文336、3584 行称“面板数据”，但第3章所展示的观测轴只有2012–2021年。不能扩大为省级或企业级样本。</w:t>
      </w:r>
    </w:p>
    <w:p>
      <w:pPr>
        <w:pStyle w:val="Compact"/>
        <w:numPr>
          <w:ilvl w:val="0"/>
          <w:numId w:val="1002"/>
        </w:numPr>
      </w:pPr>
      <w:r>
        <w:t xml:space="preserve">缺失替代没有报告缺失位置、数量、机制、替代方法或敏感性。SPSS是软件名，不是插补方法。</w:t>
      </w:r>
    </w:p>
    <w:p>
      <w:pPr>
        <w:pStyle w:val="Compact"/>
        <w:numPr>
          <w:ilvl w:val="0"/>
          <w:numId w:val="1002"/>
        </w:numPr>
      </w:pPr>
      <w:r>
        <w:t xml:space="preserve">表3.20（2495–2504 行）设计贴近度为0.253、0.132、0.352、0.267、0.485、0.485、0.494、0.588、0.788、0.872，存在下降；2509 行的“持续上升”应改为整体上升。综合指数也从2012年0.141降到2013年0.130（3530–3531 行）。</w:t>
      </w:r>
    </w:p>
    <w:p>
      <w:pPr>
        <w:pStyle w:val="Compact"/>
        <w:numPr>
          <w:ilvl w:val="0"/>
          <w:numId w:val="1002"/>
        </w:numPr>
      </w:pPr>
      <w:r>
        <w:t xml:space="preserve">第3.5.2.5（3545–3576 行）将综合指数回归到其三个构成子指数，存在指标构成关系导致的机械关联，不能把系数解释为因果“驱动力”。样本仅10年，滞后1期后最多9条时间观测；未报告自相关、趋势、共线性和样本量。指数位于[0,1]不意味着观测被删失，不能仅凭有界性选择 Tobit。</w:t>
      </w:r>
    </w:p>
    <w:p>
      <w:pPr>
        <w:pStyle w:val="Compact"/>
        <w:numPr>
          <w:ilvl w:val="0"/>
          <w:numId w:val="1002"/>
        </w:numPr>
      </w:pPr>
      <w:r>
        <w:t xml:space="preserve">将2016年前后趋势归因于集团成立或专项（2273、3544、3581 行）缺少对照、政策反事实、同期冲击控制或严谨识别。不能在新稿写成已识别的政策效果。</w:t>
      </w:r>
    </w:p>
    <w:p>
      <w:pPr>
        <w:pStyle w:val="FirstParagraph"/>
      </w:pPr>
      <w:r>
        <w:rPr>
          <w:b/>
          <w:bCs/>
        </w:rPr>
        <w:t xml:space="preserve">处理建议：不把第3章数字、回归显著性或能力趋势当作新稿已核验实证。</w:t>
      </w:r>
      <w:r>
        <w:t xml:space="preserve"> </w:t>
      </w:r>
      <w:r>
        <w:t xml:space="preserve">可以作为未发表附件提出的概念框架，在新稿中以公开资料重新构建可测研究对象；新数据不能伪装成对原15项能力指标的复刻。</w:t>
      </w:r>
    </w:p>
    <w:bookmarkEnd w:id="23"/>
    <w:bookmarkEnd w:id="24"/>
    <w:bookmarkStart w:id="25" w:name="第5章问卷是否可复核"/>
    <w:p>
      <w:pPr>
        <w:pStyle w:val="Heading2"/>
      </w:pPr>
      <w:r>
        <w:t xml:space="preserve">3. 第5章问卷是否可复核</w:t>
      </w:r>
    </w:p>
    <w:p>
      <w:pPr>
        <w:pStyle w:val="FirstParagraph"/>
      </w:pPr>
      <w:r>
        <w:t xml:space="preserve">第5.4.1.1节（5556–5558 行）称向北京、天津、上海、陕西、四川、辽宁相关单位通过邮件发放452份、回收428份、剔除64份、有效364份（364/452约80.5%）。职务分布26+84+108+92+54=364；设计/试验/制造/综合单位分布98+85+124+57=364，汇总加总在算术上成立。</w:t>
      </w:r>
    </w:p>
    <w:p>
      <w:pPr>
        <w:pStyle w:val="BodyText"/>
      </w:pPr>
      <w:r>
        <w:t xml:space="preserve">表5.1（5559–5605 行）给出22项7点量表，涉及需求牵引4项、技术推动4项、政策引导3项，以及设计/试验/制造能力11项。第5.4.1.2（5608–5609 行）报告CITC与Cronbach’s α，后文提供因子分析及中介/调节结果。</w:t>
      </w:r>
    </w:p>
    <w:p>
      <w:pPr>
        <w:pStyle w:val="BodyText"/>
      </w:pPr>
      <w:r>
        <w:t xml:space="preserve">但是，抽取资料中未发现：调查开始/结束日期；受访单位和个人抽样框；邀请对象去重规则及各单位嵌套关系；64份无效问卷剔除标准；原始逐人逐题回答；脱敏数据文件；专家预调查规模/修改记录；成熟量表逐项原始出处及改编验证；知情同意/伦理审查或豁免说明；重现统计的代码。正文中的“成熟量表”或信效度汇总不能替代这些材料。</w:t>
      </w:r>
    </w:p>
    <w:p>
      <w:pPr>
        <w:pStyle w:val="BodyText"/>
      </w:pPr>
      <w:r>
        <w:t xml:space="preserve">因此既不能确认问卷造假，也不能独立确认已完成的364人调查。当前不能将其人数、路径系数、显著性和研究过程直接写成新英文稿作者实施且已复核的研究；若要保留，须作者提供可核验脱敏数据、采集及伦理材料后再分析。新稿可以完全采用公开二手数据，使问卷不是本次完成研究的必要前置条件。</w:t>
      </w:r>
    </w:p>
    <w:bookmarkEnd w:id="25"/>
    <w:bookmarkStart w:id="26" w:name="第6章协同仿真输入和模型风险"/>
    <w:p>
      <w:pPr>
        <w:pStyle w:val="Heading2"/>
      </w:pPr>
      <w:r>
        <w:t xml:space="preserve">4. 第6章协同仿真输入和模型风险</w:t>
      </w:r>
    </w:p>
    <w:p>
      <w:pPr>
        <w:pStyle w:val="FirstParagraph"/>
      </w:pPr>
      <w:r>
        <w:t xml:space="preserve">第6.3.2节（6272–6297 行）把设计、试验、制造活动定为三个状态，环境规制定为控制参数。第6.4.1（6332 行）给出最终参数α=0.878、β=0.759、γ=0.748、θ=0.737，但追溯链不足：</w:t>
      </w:r>
    </w:p>
    <w:p>
      <w:pPr>
        <w:pStyle w:val="Compact"/>
        <w:numPr>
          <w:ilvl w:val="0"/>
          <w:numId w:val="1003"/>
        </w:numPr>
      </w:pPr>
      <w:r>
        <w:t xml:space="preserve">参数从前面能力得分和7项政策量表生成，未给输入逐年值、题项全表、归一化和权重的可复核记录，没有拟合过程、估计误差或样本外验证。6332 行说“第五章……评价研究”，实际能力评价在第三章，章次指向错误。</w:t>
      </w:r>
    </w:p>
    <w:p>
      <w:pPr>
        <w:pStyle w:val="Compact"/>
        <w:numPr>
          <w:ilvl w:val="0"/>
          <w:numId w:val="1003"/>
        </w:numPr>
      </w:pPr>
      <w:r>
        <w:t xml:space="preserve">表6.1（6292–6297 行）将β对应试验、γ对应制造；表6.2（6344–6349 行）却将调整参数2对应制造、参数3对应试验。状态与参数映射必须查原模型及代码后确认。</w:t>
      </w:r>
    </w:p>
    <w:p>
      <w:pPr>
        <w:pStyle w:val="Compact"/>
        <w:numPr>
          <w:ilvl w:val="0"/>
          <w:numId w:val="1003"/>
        </w:numPr>
      </w:pPr>
      <w:r>
        <w:t xml:space="preserve">θ的题项举例包括国拨资金占比、R&amp;D税收减免、企业减免税、政策文件（6332 行）。这些测量的是产业支持/治理环境，不能直接命名为environmental regulation并解释为污染或气候规制。</w:t>
      </w:r>
    </w:p>
    <w:p>
      <w:pPr>
        <w:pStyle w:val="Compact"/>
        <w:numPr>
          <w:ilvl w:val="0"/>
          <w:numId w:val="1003"/>
        </w:numPr>
      </w:pPr>
      <w:r>
        <w:t xml:space="preserve">至少两个动力方程系数被“本文假设=2”固定（6311 行），并非实测。这是可报告的结构假设，不能伪称数据估计结果。</w:t>
      </w:r>
    </w:p>
    <w:p>
      <w:pPr>
        <w:pStyle w:val="Compact"/>
        <w:numPr>
          <w:ilvl w:val="0"/>
          <w:numId w:val="1003"/>
        </w:numPr>
      </w:pPr>
      <w:r>
        <w:t xml:space="preserve">初始状态在[0,1]用0.1网格重复11³=1,331次（6351 行），只是情景网格，不构成1,331个真实样本。仿真结果与采集数据必须区分。</w:t>
      </w:r>
    </w:p>
    <w:p>
      <w:pPr>
        <w:pStyle w:val="Compact"/>
        <w:numPr>
          <w:ilvl w:val="0"/>
          <w:numId w:val="1003"/>
        </w:numPr>
      </w:pPr>
      <w:r>
        <w:t xml:space="preserve">线性稳定性讨论由某特征方程有负系数推到系统“肯定不满足”稳定条件，并进一步推到“不存在阈值条件”（6329 行），结论逻辑过强；须指定平衡点、Jacobian与局部/全局范围，不能直接继承。</w:t>
      </w:r>
    </w:p>
    <w:p>
      <w:pPr>
        <w:pStyle w:val="Compact"/>
        <w:numPr>
          <w:ilvl w:val="0"/>
          <w:numId w:val="1003"/>
        </w:numPr>
      </w:pPr>
      <w:r>
        <w:t xml:space="preserve">仿真称设计制造一体化优于设计制造试验一体化，进而主张试验相对独立（6370–6384 行附近）。在无参数估计、验证和充分敏感性分析时，这仅是设定方程下的条件性模拟结果，不是可直接用于产业制度建议的实证发现。</w:t>
      </w:r>
    </w:p>
    <w:p>
      <w:pPr>
        <w:pStyle w:val="FirstParagraph"/>
      </w:pPr>
      <w:r>
        <w:t xml:space="preserve">公式在纯文本中大量为空，必须用Word公式对象或原仿真代码复核精确形式后才谈复现；当前审计不尝试补写丢失公式，也不推断原图是否绘制正确。</w:t>
      </w:r>
    </w:p>
    <w:bookmarkEnd w:id="26"/>
    <w:bookmarkStart w:id="27" w:name="适合新英文稿的可验证衔接"/>
    <w:p>
      <w:pPr>
        <w:pStyle w:val="Heading2"/>
      </w:pPr>
      <w:r>
        <w:t xml:space="preserve">5. 适合新英文稿的可验证衔接</w:t>
      </w:r>
    </w:p>
    <w:p>
      <w:pPr>
        <w:pStyle w:val="FirstParagraph"/>
      </w:pPr>
      <w:r>
        <w:t xml:space="preserve">建议将论文问题收窄为：</w:t>
      </w:r>
      <w:r>
        <w:rPr>
          <w:b/>
          <w:bCs/>
        </w:rPr>
        <w:t xml:space="preserve">民用航空交通增长、燃油效率改进和技术部署滞后共同决定排放路径；如何在公开数据约束下评估改进速度与需求增长的匹配程度，以及何种可核算的技术部署情景能够降低排放。</w:t>
      </w:r>
      <w:r>
        <w:t xml:space="preserve"> </w:t>
      </w:r>
      <w:r>
        <w:t xml:space="preserve">这保留原文关注的技术能力协调问题，但把可测结果明确转成民航部门的运营与减排绩效。</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原文概念</w:t>
            </w:r>
          </w:p>
        </w:tc>
        <w:tc>
          <w:tcPr/>
          <w:p>
            <w:pPr>
              <w:pStyle w:val="Compact"/>
              <w:jc w:val="left"/>
            </w:pPr>
            <w:r>
              <w:t xml:space="preserve">可保留的理论关系</w:t>
            </w:r>
          </w:p>
        </w:tc>
        <w:tc>
          <w:tcPr/>
          <w:p>
            <w:pPr>
              <w:pStyle w:val="Compact"/>
              <w:jc w:val="left"/>
            </w:pPr>
            <w:r>
              <w:t xml:space="preserve">新实证必须重新取得的可测量变量</w:t>
            </w:r>
          </w:p>
        </w:tc>
        <w:tc>
          <w:tcPr/>
          <w:p>
            <w:pPr>
              <w:pStyle w:val="Compact"/>
              <w:jc w:val="left"/>
            </w:pPr>
            <w:r>
              <w:t xml:space="preserve">不能跨越的推断</w:t>
            </w:r>
          </w:p>
        </w:tc>
      </w:tr>
      <w:tr>
        <w:tc>
          <w:tcPr/>
          <w:p>
            <w:pPr>
              <w:pStyle w:val="Compact"/>
              <w:jc w:val="left"/>
            </w:pPr>
            <w:r>
              <w:t xml:space="preserve">设计能力</w:t>
            </w:r>
          </w:p>
        </w:tc>
        <w:tc>
          <w:tcPr/>
          <w:p>
            <w:pPr>
              <w:pStyle w:val="Compact"/>
              <w:jc w:val="left"/>
            </w:pPr>
            <w:r>
              <w:t xml:space="preserve">先进发动机/机体技术可能降低单位运输能耗</w:t>
            </w:r>
          </w:p>
        </w:tc>
        <w:tc>
          <w:tcPr/>
          <w:p>
            <w:pPr>
              <w:pStyle w:val="Compact"/>
              <w:jc w:val="left"/>
            </w:pPr>
            <w:r>
              <w:t xml:space="preserve">经独立权威来源验证的技术效率改进范围；或机队年龄/型号/实际燃油消耗</w:t>
            </w:r>
          </w:p>
        </w:tc>
        <w:tc>
          <w:tcPr/>
          <w:p>
            <w:pPr>
              <w:pStyle w:val="Compact"/>
              <w:jc w:val="left"/>
            </w:pPr>
            <w:r>
              <w:t xml:space="preserve">全国运营强度不能识别国内发动机设计能力</w:t>
            </w:r>
          </w:p>
        </w:tc>
      </w:tr>
      <w:tr>
        <w:tc>
          <w:tcPr/>
          <w:p>
            <w:pPr>
              <w:pStyle w:val="Compact"/>
              <w:jc w:val="left"/>
            </w:pPr>
            <w:r>
              <w:t xml:space="preserve">试验能力</w:t>
            </w:r>
          </w:p>
        </w:tc>
        <w:tc>
          <w:tcPr/>
          <w:p>
            <w:pPr>
              <w:pStyle w:val="Compact"/>
              <w:jc w:val="left"/>
            </w:pPr>
            <w:r>
              <w:t xml:space="preserve">验证、适航及认证产生部署时滞</w:t>
            </w:r>
          </w:p>
        </w:tc>
        <w:tc>
          <w:tcPr/>
          <w:p>
            <w:pPr>
              <w:pStyle w:val="Compact"/>
              <w:jc w:val="left"/>
            </w:pPr>
            <w:r>
              <w:t xml:space="preserve">有官方时间戳的认证/部署节点；情景模型中明确标为假设的部署时滞</w:t>
            </w:r>
          </w:p>
        </w:tc>
        <w:tc>
          <w:tcPr/>
          <w:p>
            <w:pPr>
              <w:pStyle w:val="Compact"/>
              <w:jc w:val="left"/>
            </w:pPr>
            <w:r>
              <w:t xml:space="preserve">不能把假定时滞叫做从问卷估计的参数</w:t>
            </w:r>
          </w:p>
        </w:tc>
      </w:tr>
      <w:tr>
        <w:tc>
          <w:tcPr/>
          <w:p>
            <w:pPr>
              <w:pStyle w:val="Compact"/>
              <w:jc w:val="left"/>
            </w:pPr>
            <w:r>
              <w:t xml:space="preserve">制造能力</w:t>
            </w:r>
          </w:p>
        </w:tc>
        <w:tc>
          <w:tcPr/>
          <w:p>
            <w:pPr>
              <w:pStyle w:val="Compact"/>
              <w:jc w:val="left"/>
            </w:pPr>
            <w:r>
              <w:t xml:space="preserve">机队更新和技术扩散影响效率实现</w:t>
            </w:r>
          </w:p>
        </w:tc>
        <w:tc>
          <w:tcPr/>
          <w:p>
            <w:pPr>
              <w:pStyle w:val="Compact"/>
              <w:jc w:val="left"/>
            </w:pPr>
            <w:r>
              <w:t xml:space="preserve">民航机队规模、引进/退出量、运输周转量、燃油使用或官方强度</w:t>
            </w:r>
          </w:p>
        </w:tc>
        <w:tc>
          <w:tcPr/>
          <w:p>
            <w:pPr>
              <w:pStyle w:val="Compact"/>
              <w:jc w:val="left"/>
            </w:pPr>
            <w:r>
              <w:t xml:space="preserve">机队扩张不等于国产发动机制造能力提升</w:t>
            </w:r>
          </w:p>
        </w:tc>
      </w:tr>
      <w:tr>
        <w:tc>
          <w:tcPr/>
          <w:p>
            <w:pPr>
              <w:pStyle w:val="Compact"/>
              <w:jc w:val="left"/>
            </w:pPr>
            <w:r>
              <w:t xml:space="preserve">协同机制</w:t>
            </w:r>
          </w:p>
        </w:tc>
        <w:tc>
          <w:tcPr/>
          <w:p>
            <w:pPr>
              <w:pStyle w:val="Compact"/>
              <w:jc w:val="left"/>
            </w:pPr>
            <w:r>
              <w:t xml:space="preserve">技术准备与部署速度存在匹配约束</w:t>
            </w:r>
          </w:p>
        </w:tc>
        <w:tc>
          <w:tcPr/>
          <w:p>
            <w:pPr>
              <w:pStyle w:val="Compact"/>
              <w:jc w:val="left"/>
            </w:pPr>
            <w:r>
              <w:t xml:space="preserve">有质量控制的年度公开序列与不确定性情景</w:t>
            </w:r>
          </w:p>
        </w:tc>
        <w:tc>
          <w:tcPr/>
          <w:p>
            <w:pPr>
              <w:pStyle w:val="Compact"/>
              <w:jc w:val="left"/>
            </w:pPr>
            <w:r>
              <w:t xml:space="preserve">条件性仿真不能证明组织协同的因果效果</w:t>
            </w:r>
          </w:p>
        </w:tc>
      </w:tr>
      <w:tr>
        <w:tc>
          <w:tcPr/>
          <w:p>
            <w:pPr>
              <w:pStyle w:val="Compact"/>
              <w:jc w:val="left"/>
            </w:pPr>
            <w:r>
              <w:t xml:space="preserve">政策支持</w:t>
            </w:r>
          </w:p>
        </w:tc>
        <w:tc>
          <w:tcPr/>
          <w:p>
            <w:pPr>
              <w:pStyle w:val="Compact"/>
              <w:jc w:val="left"/>
            </w:pPr>
            <w:r>
              <w:t xml:space="preserve">激励可能改变技术部署和燃料结构</w:t>
            </w:r>
          </w:p>
        </w:tc>
        <w:tc>
          <w:tcPr/>
          <w:p>
            <w:pPr>
              <w:pStyle w:val="Compact"/>
              <w:jc w:val="left"/>
            </w:pPr>
            <w:r>
              <w:t xml:space="preserve">可核验政策节点及情景假设，或具有识别条件的政策数据</w:t>
            </w:r>
          </w:p>
        </w:tc>
        <w:tc>
          <w:tcPr/>
          <w:p>
            <w:pPr>
              <w:pStyle w:val="Compact"/>
              <w:jc w:val="left"/>
            </w:pPr>
            <w:r>
              <w:t xml:space="preserve">产业支持指数不能称为已观察到的气候规制效果</w:t>
            </w:r>
          </w:p>
        </w:tc>
      </w:tr>
    </w:tbl>
    <w:p>
      <w:pPr>
        <w:pStyle w:val="BodyText"/>
      </w:pPr>
      <w:r>
        <w:t xml:space="preserve">可采用有约束的状态空间/变点模型描述历史强度轨迹，加上透明的机队/技术扩散或需求—强度情景核算。模型复杂度应服务明确问题及可验证数据；20年左右的全国年度序列不足以支持深度神经网络、大量自由参数、未经识别的因果森林或声称精准长期预测。若输出使用未来轨迹，必须称为assumption-conditional scenarios，报告历史验证、参数敏感性和不确定性，不能当作官方预测。</w:t>
      </w:r>
    </w:p>
    <w:p>
      <w:pPr>
        <w:pStyle w:val="BodyText"/>
      </w:pPr>
      <w:r>
        <w:t xml:space="preserve">新稿必须区分燃油燃烧CO₂、生命周期温室气体和非CO₂气候效应；官方燃油强度乘以运输量只能按对应口径得到燃油/燃烧CO₂核算，不得自动扩展为全生命周期排放。公众统计口径（航空公司运输、民航全行业、国内/国际、客货周转量）必须全程一致。</w:t>
      </w:r>
    </w:p>
    <w:bookmarkEnd w:id="27"/>
    <w:bookmarkStart w:id="28" w:name="结论供主稿使用"/>
    <w:p>
      <w:pPr>
        <w:pStyle w:val="Heading2"/>
      </w:pPr>
      <w:r>
        <w:t xml:space="preserve">6. 结论供主稿使用</w:t>
      </w:r>
    </w:p>
    <w:p>
      <w:pPr>
        <w:pStyle w:val="FirstParagraph"/>
      </w:pPr>
      <w:r>
        <w:t xml:space="preserve">原附件可以贡献研究背景、设计—制造—验证协同的理论动机和研究缺口，不能在目前材料条件下直接贡献已经独立复核的能力面板、问卷或仿真参数。最稳妥的完成路线是：基于公开官方民航/统计数据重建一个范围清晰的新实证，明确发动机技术只是效率改进的机制之一，保留能力协调为理论解释和部署情景，而不是把部门减排结果声称为对国产航空发动机能力的直接因果测量。</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2026-10-16T04:58:23Z</dcterms:created>
  <dcterms:modified xsi:type="dcterms:W3CDTF">2026-10-16T04:58:23Z</dcterms:modified>
</cp:coreProperties>
</file>

<file path=docProps/custom.xml><?xml version="1.0" encoding="utf-8"?>
<Properties xmlns="http://schemas.openxmlformats.org/officeDocument/2006/custom-properties" xmlns:vt="http://schemas.openxmlformats.org/officeDocument/2006/docPropsVTypes"/>
</file>