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internal-technical-methods-check"/>
    <w:p>
      <w:pPr>
        <w:pStyle w:val="Heading1"/>
      </w:pPr>
      <w:r>
        <w:t xml:space="preserve">Internal technical methods check</w:t>
      </w:r>
    </w:p>
    <w:p>
      <w:pPr>
        <w:pStyle w:val="FirstParagraph"/>
      </w:pPr>
      <w:r>
        <w:t xml:space="preserve">Review date: 16 October 2026. This is an internal, same-platform technical check, not external peer review, an independent certification of the study, or a prediction of journal acceptance. The reviewer contributed to the transition-model implementation; the manuscript was checked separately against saved outputs and standalone arithmetic, but that contribution limits any claim of reviewer independence.</w:t>
      </w:r>
    </w:p>
    <w:p>
      <w:pPr>
        <w:pStyle w:val="BodyText"/>
      </w:pPr>
      <w:r>
        <w:t xml:space="preserve">Reviewed manuscript snapshot:</w:t>
      </w:r>
      <w:r>
        <w:t xml:space="preserve"> </w:t>
      </w:r>
      <w:r>
        <w:rPr>
          <w:rStyle w:val="VerbatimChar"/>
        </w:rPr>
        <w:t xml:space="preserve">/workspace/research/output/MANUSCRIPT.md</w:t>
      </w:r>
      <w:r>
        <w:t xml:space="preserve">, SHA-256</w:t>
      </w:r>
      <w:r>
        <w:t xml:space="preserve"> </w:t>
      </w:r>
      <w:r>
        <w:rPr>
          <w:rStyle w:val="VerbatimChar"/>
        </w:rPr>
        <w:t xml:space="preserve">96eda33b596c8f97ee79e17c265c69579040fd2a4a8aff1342c97011844bd79a</w:t>
      </w:r>
      <w:r>
        <w:t xml:space="preserve">. Line numbers below refer to that snapshot.</w:t>
      </w:r>
    </w:p>
    <w:bookmarkStart w:id="20" w:name="overall-finding"/>
    <w:p>
      <w:pPr>
        <w:pStyle w:val="Heading2"/>
      </w:pPr>
      <w:r>
        <w:t xml:space="preserve">Overall finding</w:t>
      </w:r>
    </w:p>
    <w:p>
      <w:pPr>
        <w:pStyle w:val="FirstParagraph"/>
      </w:pPr>
      <w:r>
        <w:t xml:space="preserve">No material numerical, unit-conversion, chain-versus-endpoint, scenario-configuration, or training-time inconsistency was found in the checked manuscript. Two small methods clarifications should be made before final assembly. The main 2017–2025 window, extended 2015–2025 diagnostic, and absence of eligible post-2017 forecast tests are represented correctly. No manuscript changes were made during this check.</w:t>
      </w:r>
    </w:p>
    <w:bookmarkEnd w:id="20"/>
    <w:bookmarkStart w:id="21" w:name="wording-to-fix"/>
    <w:p>
      <w:pPr>
        <w:pStyle w:val="Heading2"/>
      </w:pPr>
      <w:r>
        <w:t xml:space="preserve">Wording to fix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Line 100: qualify the predictive-distribution statement.</w:t>
      </w:r>
      <w:r>
        <w:t xml:space="preserve"> </w:t>
      </w:r>
      <w:r>
        <w:t xml:space="preserve">“</w:t>
      </w:r>
      <w:r>
        <w:t xml:space="preserve">Original-scale point predictions are medians of exponentiated Student-t distributions</w:t>
      </w:r>
      <w:r>
        <w:t xml:space="preserve">”</w:t>
      </w:r>
      <w:r>
        <w:t xml:space="preserve"> </w:t>
      </w:r>
      <w:r>
        <w:t xml:space="preserve">should refer specifically to the Bayesian benchmark. B0 is a deterministic unchanged-intensity baseline and B1 is an unshrunk plug-in drift baseline; the implementation does not assign those two baselines the Bayesian Student-t distribution. Suggested wording:</w:t>
      </w:r>
      <w:r>
        <w:t xml:space="preserve"> </w:t>
      </w:r>
      <w:r>
        <w:t xml:space="preserve">“</w:t>
      </w:r>
      <w:r>
        <w:t xml:space="preserve">The Bayesian benchmark’s original-scale point predictions are medians of exponentiated Student-t distributions, not means.</w:t>
      </w:r>
      <w:r>
        <w:t xml:space="preserve">”</w:t>
      </w:r>
      <w:r>
        <w:t xml:space="preserve"> </w:t>
      </w:r>
      <w:r>
        <w:t xml:space="preserve">This does not change any reported value.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Lines 70–78: state the domain of Equation (4).</w:t>
      </w:r>
      <w:r>
        <w:t xml:space="preserve"> </w:t>
      </w:r>
      <w:r>
        <w:t xml:space="preserve">The required-share formula divides by θ. The actual stress-test domain has θ between 0.10 and 0.30 and is therefore valid, but the general formula should say</w:t>
      </w:r>
      <w:r>
        <w:t xml:space="preserve"> </w:t>
      </w:r>
      <w:r>
        <w:t xml:space="preserve">“</w:t>
      </w:r>
      <w:r>
        <w:t xml:space="preserve">For θ &gt; 0</w:t>
      </w:r>
      <w:r>
        <w:t xml:space="preserve">”</w:t>
      </w:r>
      <w:r>
        <w:t xml:space="preserve">. For completeness, add that θ = 0 cannot change the baseline and therefore cannot meet an otherwise missed target. The code already handles this boundary explicitly. This is a domain clarification, not a failed numerical result.</w:t>
      </w:r>
    </w:p>
    <w:bookmarkEnd w:id="21"/>
    <w:bookmarkStart w:id="22" w:name="checked-and-consistent"/>
    <w:p>
      <w:pPr>
        <w:pStyle w:val="Heading2"/>
      </w:pPr>
      <w:r>
        <w:t xml:space="preserve">Checked and consistent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Manuscript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Lines 27–33, 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processing and inference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comparisons begin in 2017; no retrospective harmonisation is claimed; annual intensity coverage is presented as an official-anchor-supported interpretation, not enterprise-level matching.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Lines 37–52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Fuel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Q in 10^8 tonne-km and I in kg/tonne-km, fuel is 0.1QI Mt. The analysis script’s 10QI in 10,000-tonne units equals 0.1QI Mt. All eleven annual conversions match saved outputs.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Lines 54–60, 120–135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LMDI, chain totals, endpoint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 is an exact identity. Table 3 uses adjacent-year chain contributions, rather than the different endpoint allocations. Net changes and offsets match. The rounding envelope is explicitly for endpoint quantities, not a confidence interval.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Lines 110–112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Turnover +51.4967%, intensity −11.2628%, and reconstructed fuel +34.4339% for 2017–2025 round as reported. The 33.95–34.92% fuel-growth envelope and 2019–2025 comparisons agree with saved calculations.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Lines 64–92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definitions and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θ is incremental relative to baseline; r is fuel-use-weighted adoption; g and b use continuous rates converted from ordinary rates. H=15 means 2025 to 2040. No engine-only benefit, aircraft-count rate, or official fuel target is inferred.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Lines 143–145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 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full-adoption benefit is 0.354387409; full adoption of θ=0.30 yields R=1.084241556. Low-growth required share is 0.680440019; required rates for τ=0/3/8 are 0.073233858/0.090688468/0.150385786. Reported rounding and the</w:t>
            </w:r>
            <w:r>
              <w:t xml:space="preserve"> </w:t>
            </w:r>
            <w:r>
              <w:t xml:space="preserve">“</w:t>
            </w:r>
            <w:r>
              <w:t xml:space="preserve">more than doubles</w:t>
            </w:r>
            <w:r>
              <w:t xml:space="preserve">”</w:t>
            </w:r>
            <w:r>
              <w:t xml:space="preserve"> </w:t>
            </w:r>
            <w:r>
              <w:t xml:space="preserve">statement are correct.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Lines 94, 153–155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Sobol and exact box bounds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manuscript quotes the 2^14 resolution entries, not the initial 2^12 entries. Seeds, parameter ranges, domain weights, fractions, resolution differences and exact corners match the configuration and output. No variance-based sensitivity indices are claimed.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Lines 100, 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Priors and forecast folds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NIG prior is μ0=0, κ0=1, α0=2, β0=0.05²; alternative β scales match the code. Forward-only extended-series origins are 2023 and 2024, targeting 2024 and 2025, using 8 and 9 differences. MAEs round to 0.0160/0.0147/0.0148 for B0/B1/B2. No superiority is asserted.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Post-2017 eligibility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2017–2025 has eight total differences but no later observed target after the first eligible full training set. Thus zero out-of-sample folds is correct. It is distinct from a latest-origin 2026 projection that can be computed but is not empirically tested or used to calibrate scenarios.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Lines 100, 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Pandemic exclusion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extended series has six valid annual differences after excluding any difference touching 2020–2022; post-2017 has four. No skipped year is bridged; the eight-difference threshold is not relaxed.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Lines 19–21, 171–189, 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Identification and climate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efficiency is not presented as engine capability; causal attribution, rebound, lifecycle neutrality and investment optimality are explicitly excluded. Scenario fractions are design-space summaries, not empirical probabilities.</w:t>
            </w:r>
          </w:p>
        </w:tc>
      </w:tr>
    </w:tbl>
    <w:bookmarkEnd w:id="22"/>
    <w:bookmarkStart w:id="23" w:name="standalone-arithmetic-recheck"/>
    <w:p>
      <w:pPr>
        <w:pStyle w:val="Heading2"/>
      </w:pPr>
      <w:r>
        <w:t xml:space="preserve">Standalone arithmetic recheck</w:t>
      </w:r>
    </w:p>
    <w:p>
      <w:pPr>
        <w:pStyle w:val="FirstParagraph"/>
      </w:pPr>
      <w:r>
        <w:t xml:space="preserve">The following checks were rerun directly from</w:t>
      </w:r>
      <w:r>
        <w:t xml:space="preserve"> </w:t>
      </w:r>
      <w:r>
        <w:rPr>
          <w:rStyle w:val="VerbatimChar"/>
        </w:rPr>
        <w:t xml:space="preserve">source/verified_data.csv</w:t>
      </w:r>
      <w:r>
        <w:t xml:space="preserve"> </w:t>
      </w:r>
      <w:r>
        <w:t xml:space="preserve">and the root</w:t>
      </w:r>
      <w:r>
        <w:t xml:space="preserve"> </w:t>
      </w:r>
      <w:r>
        <w:rPr>
          <w:rStyle w:val="VerbatimChar"/>
        </w:rPr>
        <w:t xml:space="preserve">scenario_config.json</w:t>
      </w:r>
      <w:r>
        <w:t xml:space="preserve">, without importing the modelling or accounting functions under review:</w:t>
      </w:r>
    </w:p>
    <w:p>
      <w:pPr>
        <w:pStyle w:val="Compact"/>
        <w:numPr>
          <w:ilvl w:val="0"/>
          <w:numId w:val="1002"/>
        </w:numPr>
      </w:pPr>
      <w:r>
        <w:t xml:space="preserve">All eleven annual fuel conversions match</w:t>
      </w:r>
      <w:r>
        <w:t xml:space="preserve"> </w:t>
      </w:r>
      <w:r>
        <w:rPr>
          <w:rStyle w:val="VerbatimChar"/>
        </w:rPr>
        <w:t xml:space="preserve">output/analysis/accounting_results.json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Adjacent-year LMDI sums reproduce all four main manuscript periods: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Activity, Mt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Intensity, Mt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Sum, Mt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2017–2019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6.0593377721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−0.9359567721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5.1233810000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2019–2022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−20.8434543315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2.0840853315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−18.7593690000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2022–2025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29.9311763624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−5.3678523624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24.5633240000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2017–2025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15.1470598030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−4.2197238030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10.9273360000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The standalone conjugate posterior produces Bayesian medians 0.2917786193 for target 2024 and 0.2688013756 for target 2025. The 80% and 95% interval endpoints match saved outputs. These are medians, not original-scale expectations: exponentiated Student-t predictions do not have finite positive moments.</w:t>
      </w:r>
    </w:p>
    <w:p>
      <w:pPr>
        <w:pStyle w:val="Compact"/>
        <w:numPr>
          <w:ilvl w:val="0"/>
          <w:numId w:val="1003"/>
        </w:numPr>
      </w:pPr>
      <w:r>
        <w:t xml:space="preserve">Regenerating all three 2^14 Sobol sets gives domain fractions 0.0679321289, 0.0511474609 and 0.0260620117 for delays 0, 3 and 8. These agree exactly with the saved higher-resolution summaries.</w:t>
      </w:r>
    </w:p>
    <w:bookmarkEnd w:id="23"/>
    <w:bookmarkStart w:id="24" w:name="X9a982741c94c4098812263ed4aa582b35447d63"/>
    <w:p>
      <w:pPr>
        <w:pStyle w:val="Heading2"/>
      </w:pPr>
      <w:r>
        <w:t xml:space="preserve">Delivery-package issue outside the manuscript calculation</w:t>
      </w:r>
    </w:p>
    <w:p>
      <w:pPr>
        <w:pStyle w:val="FirstParagraph"/>
      </w:pPr>
      <w:r>
        <w:rPr>
          <w:rStyle w:val="VerbatimChar"/>
        </w:rPr>
        <w:t xml:space="preserve">output/RESEARCH_STATUS.md</w:t>
      </w:r>
      <w:r>
        <w:t xml:space="preserve"> </w:t>
      </w:r>
      <w:r>
        <w:t xml:space="preserve">still describes the earlier network-blocked, no-data stage. If supplied beside the current completed manuscript without a prominent historical label, it contradicts the actual replication status. Update it, explicitly archive it as a dated progress record, or exclude it from the submission package. This is a packaging correction, not a numerical defect in the manuscript.</w:t>
      </w:r>
    </w:p>
    <w:bookmarkEnd w:id="24"/>
    <w:bookmarkStart w:id="25" w:name="limits-of-this-check"/>
    <w:p>
      <w:pPr>
        <w:pStyle w:val="Heading2"/>
      </w:pPr>
      <w:r>
        <w:t xml:space="preserve">Limits of this check</w:t>
      </w:r>
    </w:p>
    <w:p>
      <w:pPr>
        <w:pStyle w:val="FirstParagraph"/>
      </w:pPr>
      <w:r>
        <w:t xml:space="preserve">The review checked formulas, numerical consistency, saved configuration, sample eligibility, and interpretation boundaries. It did not re-authenticate every official PDF from the publisher, re-perform the literature search, verify author declarations, assess all journal policies, evaluate originality against every related article, or reproduce an external editor’s judgement. The official-source intensity mapping remains a measurement assumption supported by documented anchors; this check does not turn it into a direct independent fuel-total observation. The study remains a descriptive accounting exercise plus explicitly conditional deployment analysis, and the small forecasting exercise remains diagnostic.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2026-10-16T04:58:23Z</dcterms:created>
  <dcterms:modified xsi:type="dcterms:W3CDTF">2026-10-16T04:58:23Z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