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laimevidence-map"/>
    <w:p>
      <w:pPr>
        <w:pStyle w:val="Heading1"/>
      </w:pPr>
      <w:r>
        <w:t xml:space="preserve">Claim–evidence map</w:t>
      </w:r>
    </w:p>
    <w:p>
      <w:pPr>
        <w:pStyle w:val="FirstParagraph"/>
      </w:pPr>
      <w:r>
        <w:t xml:space="preserve">Each item has a saved Crossref record and official publisher page.</w:t>
      </w:r>
      <w:r>
        <w:t xml:space="preserve"> </w:t>
      </w:r>
      <w:r>
        <w:t xml:space="preserve">“</w:t>
      </w:r>
      <w:r>
        <w:t xml:space="preserve">Full text retrieved</w:t>
      </w:r>
      <w:r>
        <w:t xml:space="preserve">”</w:t>
      </w:r>
      <w:r>
        <w:t xml:space="preserve"> </w:t>
      </w:r>
      <w:r>
        <w:t xml:space="preserve">is distinguished from actual reading; reading was selective, not an exhaustive appraisal. Exact evidence snippets are short; see the raw files for surrounding context.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Source / role</w:t>
            </w:r>
          </w:p>
        </w:tc>
        <w:tc>
          <w:tcPr/>
          <w:p>
            <w:pPr>
              <w:pStyle w:val="Compact"/>
              <w:jc w:val="left"/>
            </w:pPr>
            <w:r>
              <w:t xml:space="preserve">Reading level</w:t>
            </w:r>
          </w:p>
        </w:tc>
        <w:tc>
          <w:tcPr/>
          <w:p>
            <w:pPr>
              <w:pStyle w:val="Compact"/>
              <w:jc w:val="left"/>
            </w:pPr>
            <w:r>
              <w:t xml:space="preserve">Support</w:t>
            </w:r>
          </w:p>
        </w:tc>
        <w:tc>
          <w:tcPr/>
          <w:p>
            <w:pPr>
              <w:pStyle w:val="Compact"/>
              <w:jc w:val="left"/>
            </w:pPr>
            <w:r>
              <w:t xml:space="preserve">Limits</w:t>
            </w:r>
          </w:p>
        </w:tc>
      </w:tr>
      <w:tr>
        <w:tc>
          <w:tcPr/>
          <w:p>
            <w:pPr>
              <w:pStyle w:val="Compact"/>
              <w:jc w:val="left"/>
            </w:pPr>
            <w:r>
              <w:t xml:space="preserve">1</w:t>
            </w:r>
          </w:p>
        </w:tc>
        <w:tc>
          <w:tcPr/>
          <w:p>
            <w:pPr>
              <w:pStyle w:val="Compact"/>
              <w:jc w:val="left"/>
            </w:pPr>
            <w:r>
              <w:t xml:space="preserve">Bergero et al. (2023); Core</w:t>
            </w:r>
          </w:p>
        </w:tc>
        <w:tc>
          <w:tcPr/>
          <w:p>
            <w:pPr>
              <w:pStyle w:val="Compact"/>
              <w:jc w:val="left"/>
            </w:pPr>
            <w:r>
              <w:t xml:space="preserve">Abstract read; publisher full text paywalled.</w:t>
            </w:r>
          </w:p>
        </w:tc>
        <w:tc>
          <w:tcPr/>
          <w:p>
            <w:pPr>
              <w:pStyle w:val="Compact"/>
              <w:jc w:val="left"/>
            </w:pPr>
            <w:r>
              <w:t xml:space="preserve">Global pathways combine demand, efficiency, fuel substitution and removals; their relative potential depends on assumptions.</w:t>
            </w:r>
          </w:p>
        </w:tc>
        <w:tc>
          <w:tcPr/>
          <w:p>
            <w:pPr>
              <w:pStyle w:val="Compact"/>
              <w:jc w:val="left"/>
            </w:pPr>
            <w:r>
              <w:t xml:space="preserve">Do not transfer global scenario percentages to China or describe them as observed effects.</w:t>
            </w:r>
          </w:p>
        </w:tc>
      </w:tr>
      <w:tr>
        <w:tc>
          <w:tcPr/>
          <w:p>
            <w:pPr>
              <w:pStyle w:val="Compact"/>
              <w:jc w:val="left"/>
            </w:pPr>
            <w:r>
              <w:t xml:space="preserve">2</w:t>
            </w:r>
          </w:p>
        </w:tc>
        <w:tc>
          <w:tcPr/>
          <w:p>
            <w:pPr>
              <w:pStyle w:val="Compact"/>
              <w:jc w:val="left"/>
            </w:pPr>
            <w:r>
              <w:t xml:space="preserve">Sacchi et al. (2023); Core</w:t>
            </w:r>
          </w:p>
        </w:tc>
        <w:tc>
          <w:tcPr/>
          <w:p>
            <w:pPr>
              <w:pStyle w:val="Compact"/>
              <w:jc w:val="left"/>
            </w:pPr>
            <w:r>
              <w:t xml:space="preserve">Abstract and selected open full-text introduction/methods/results paragraphs read.</w:t>
            </w:r>
          </w:p>
        </w:tc>
        <w:tc>
          <w:tcPr/>
          <w:p>
            <w:pPr>
              <w:pStyle w:val="Compact"/>
              <w:jc w:val="left"/>
            </w:pPr>
            <w:r>
              <w:t xml:space="preserve">European aviation LCA highlights resource constraints and different CO2/non-CO2 neutrality definitions.</w:t>
            </w:r>
          </w:p>
        </w:tc>
        <w:tc>
          <w:tcPr/>
          <w:p>
            <w:pPr>
              <w:pStyle w:val="Compact"/>
              <w:jc w:val="left"/>
            </w:pPr>
            <w:r>
              <w:t xml:space="preserve">European modeling, not a Chinese empirical estimate; its large non-CO2 share is scenario/scope specific.</w:t>
            </w:r>
          </w:p>
        </w:tc>
      </w:tr>
      <w:tr>
        <w:tc>
          <w:tcPr/>
          <w:p>
            <w:pPr>
              <w:pStyle w:val="Compact"/>
              <w:jc w:val="left"/>
            </w:pPr>
            <w:r>
              <w:t xml:space="preserve">3</w:t>
            </w:r>
          </w:p>
        </w:tc>
        <w:tc>
          <w:tcPr/>
          <w:p>
            <w:pPr>
              <w:pStyle w:val="Compact"/>
              <w:jc w:val="left"/>
            </w:pPr>
            <w:r>
              <w:t xml:space="preserve">Martulli et al. (2025); Core</w:t>
            </w:r>
          </w:p>
        </w:tc>
        <w:tc>
          <w:tcPr/>
          <w:p>
            <w:pPr>
              <w:pStyle w:val="Compact"/>
              <w:jc w:val="left"/>
            </w:pPr>
            <w:r>
              <w:t xml:space="preserve">Abstract and selected open full-text introduction/methods/results paragraphs read.</w:t>
            </w:r>
          </w:p>
        </w:tc>
        <w:tc>
          <w:tcPr/>
          <w:p>
            <w:pPr>
              <w:pStyle w:val="Compact"/>
              <w:jc w:val="left"/>
            </w:pPr>
            <w:r>
              <w:t xml:space="preserve">SAF project announcements need deployment-realization and delay analysis; stochastic diffusion is an evidenced modeling approach.</w:t>
            </w:r>
          </w:p>
        </w:tc>
        <w:tc>
          <w:tcPr/>
          <w:p>
            <w:pPr>
              <w:pStyle w:val="Compact"/>
              <w:jc w:val="left"/>
            </w:pPr>
            <w:r>
              <w:t xml:space="preserve">Production capacity is not actual fuel output or uptake. Global/EU realization rates are not estimated China parameters.</w:t>
            </w:r>
          </w:p>
        </w:tc>
      </w:tr>
      <w:tr>
        <w:tc>
          <w:tcPr/>
          <w:p>
            <w:pPr>
              <w:pStyle w:val="Compact"/>
              <w:jc w:val="left"/>
            </w:pPr>
            <w:r>
              <w:t xml:space="preserve">4</w:t>
            </w:r>
          </w:p>
        </w:tc>
        <w:tc>
          <w:tcPr/>
          <w:p>
            <w:pPr>
              <w:pStyle w:val="Compact"/>
              <w:jc w:val="left"/>
            </w:pPr>
            <w:r>
              <w:t xml:space="preserve">Teoh et al. (2024); Core</w:t>
            </w:r>
          </w:p>
        </w:tc>
        <w:tc>
          <w:tcPr/>
          <w:p>
            <w:pPr>
              <w:pStyle w:val="Compact"/>
              <w:jc w:val="left"/>
            </w:pPr>
            <w:r>
              <w:t xml:space="preserve">Abstract and selected open full-text methods/discussion paragraphs read.</w:t>
            </w:r>
          </w:p>
        </w:tc>
        <w:tc>
          <w:tcPr/>
          <w:p>
            <w:pPr>
              <w:pStyle w:val="Compact"/>
              <w:jc w:val="left"/>
            </w:pPr>
            <w:r>
              <w:t xml:space="preserve">Non-CO2 aviation impacts are spatially heterogeneous and sensitive to meteorology and engine particle emissions.</w:t>
            </w:r>
          </w:p>
        </w:tc>
        <w:tc>
          <w:tcPr/>
          <w:p>
            <w:pPr>
              <w:pStyle w:val="Compact"/>
              <w:jc w:val="left"/>
            </w:pPr>
            <w:r>
              <w:t xml:space="preserve">Do not use global/region RF numbers as CO2 inventory multipliers or infer Chinese operational CO2 from them.</w:t>
            </w:r>
          </w:p>
        </w:tc>
      </w:tr>
      <w:tr>
        <w:tc>
          <w:tcPr/>
          <w:p>
            <w:pPr>
              <w:pStyle w:val="Compact"/>
              <w:jc w:val="left"/>
            </w:pPr>
            <w:r>
              <w:t xml:space="preserve">5</w:t>
            </w:r>
          </w:p>
        </w:tc>
        <w:tc>
          <w:tcPr/>
          <w:p>
            <w:pPr>
              <w:pStyle w:val="Compact"/>
              <w:jc w:val="left"/>
            </w:pPr>
            <w:r>
              <w:t xml:space="preserve">Cui et al. (2023); Core</w:t>
            </w:r>
          </w:p>
        </w:tc>
        <w:tc>
          <w:tcPr/>
          <w:p>
            <w:pPr>
              <w:pStyle w:val="Compact"/>
              <w:jc w:val="left"/>
            </w:pPr>
            <w:r>
              <w:t xml:space="preserve">Abstract and selected open full-text methods paragraphs read.</w:t>
            </w:r>
          </w:p>
        </w:tc>
        <w:tc>
          <w:tcPr/>
          <w:p>
            <w:pPr>
              <w:pStyle w:val="Compact"/>
              <w:jc w:val="left"/>
            </w:pPr>
            <w:r>
              <w:t xml:space="preserve">China-foreign-route scenario evidence models complementary fuel and market instruments.</w:t>
            </w:r>
          </w:p>
        </w:tc>
        <w:tc>
          <w:tcPr/>
          <w:p>
            <w:pPr>
              <w:pStyle w:val="Compact"/>
              <w:jc w:val="left"/>
            </w:pPr>
            <w:r>
              <w:t xml:space="preserve">Routes and modeled atmospheric impacts differ from the national CAAC operator-based fuel/turnover boundary.</w:t>
            </w:r>
          </w:p>
        </w:tc>
      </w:tr>
      <w:tr>
        <w:tc>
          <w:tcPr/>
          <w:p>
            <w:pPr>
              <w:pStyle w:val="Compact"/>
              <w:jc w:val="left"/>
            </w:pPr>
            <w:r>
              <w:t xml:space="preserve">6</w:t>
            </w:r>
          </w:p>
        </w:tc>
        <w:tc>
          <w:tcPr/>
          <w:p>
            <w:pPr>
              <w:pStyle w:val="Compact"/>
              <w:jc w:val="left"/>
            </w:pPr>
            <w:r>
              <w:t xml:space="preserve">Liu et al. (2023); Essential prior art</w:t>
            </w:r>
          </w:p>
        </w:tc>
        <w:tc>
          <w:tcPr/>
          <w:p>
            <w:pPr>
              <w:pStyle w:val="Compact"/>
              <w:jc w:val="left"/>
            </w:pPr>
            <w:r>
              <w:t xml:space="preserve">Abstract and open full-text data scope/conclusions read.</w:t>
            </w:r>
          </w:p>
        </w:tc>
        <w:tc>
          <w:tcPr/>
          <w:p>
            <w:pPr>
              <w:pStyle w:val="Compact"/>
              <w:jc w:val="left"/>
            </w:pPr>
            <w:r>
              <w:t xml:space="preserve">China aviation decoupling and decomposition already studied using 1996–2015 commercial passenger/freight data.</w:t>
            </w:r>
          </w:p>
        </w:tc>
        <w:tc>
          <w:tcPr/>
          <w:p>
            <w:pPr>
              <w:pStyle w:val="Compact"/>
              <w:jc w:val="left"/>
            </w:pPr>
            <w:r>
              <w:t xml:space="preserve">Updating years alone is not sufficient novelty; do not claim the first China decoupling/decomposition study or equate accounting with causality.</w:t>
            </w:r>
          </w:p>
        </w:tc>
      </w:tr>
      <w:tr>
        <w:tc>
          <w:tcPr/>
          <w:p>
            <w:pPr>
              <w:pStyle w:val="Compact"/>
              <w:jc w:val="left"/>
            </w:pPr>
            <w:r>
              <w:t xml:space="preserve">7</w:t>
            </w:r>
          </w:p>
        </w:tc>
        <w:tc>
          <w:tcPr/>
          <w:p>
            <w:pPr>
              <w:pStyle w:val="Compact"/>
              <w:jc w:val="left"/>
            </w:pPr>
            <w:r>
              <w:t xml:space="preserve">Suomalainen et al. (2025); Core</w:t>
            </w:r>
          </w:p>
        </w:tc>
        <w:tc>
          <w:tcPr/>
          <w:p>
            <w:pPr>
              <w:pStyle w:val="Compact"/>
              <w:jc w:val="left"/>
            </w:pPr>
            <w:r>
              <w:t xml:space="preserve">Abstract and selected open full-text framework/methods paragraphs read.</w:t>
            </w:r>
          </w:p>
        </w:tc>
        <w:tc>
          <w:tcPr/>
          <w:p>
            <w:pPr>
              <w:pStyle w:val="Compact"/>
              <w:jc w:val="left"/>
            </w:pPr>
            <w:r>
              <w:t xml:space="preserve">Avoid–Shift–Improve content analysis questions technology-centered climate-neutral-growth narratives.</w:t>
            </w:r>
          </w:p>
        </w:tc>
        <w:tc>
          <w:tcPr/>
          <w:p>
            <w:pPr>
              <w:pStyle w:val="Compact"/>
              <w:jc w:val="left"/>
            </w:pPr>
            <w:r>
              <w:t xml:space="preserve">Qualitative document analysis of EU/Finland; it is not a Chinese causal demand estimate.</w:t>
            </w:r>
          </w:p>
        </w:tc>
      </w:tr>
      <w:tr>
        <w:tc>
          <w:tcPr/>
          <w:p>
            <w:pPr>
              <w:pStyle w:val="Compact"/>
              <w:jc w:val="left"/>
            </w:pPr>
            <w:r>
              <w:t xml:space="preserve">8</w:t>
            </w:r>
          </w:p>
        </w:tc>
        <w:tc>
          <w:tcPr/>
          <w:p>
            <w:pPr>
              <w:pStyle w:val="Compact"/>
              <w:jc w:val="left"/>
            </w:pPr>
            <w:r>
              <w:t xml:space="preserve">Davydenko et al. (2024); Journal-specific comparator</w:t>
            </w:r>
          </w:p>
        </w:tc>
        <w:tc>
          <w:tcPr/>
          <w:p>
            <w:pPr>
              <w:pStyle w:val="Compact"/>
              <w:jc w:val="left"/>
            </w:pPr>
            <w:r>
              <w:t xml:space="preserve">Abstract and selected open full-text methods/conclusions read.</w:t>
            </w:r>
          </w:p>
        </w:tc>
        <w:tc>
          <w:tcPr/>
          <w:p>
            <w:pPr>
              <w:pStyle w:val="Compact"/>
              <w:jc w:val="left"/>
            </w:pPr>
            <w:r>
              <w:t xml:space="preserve">Sustainability has published aviation scenarios combining fuel transition, operational efficiency, ticket prices and demand elasticity.</w:t>
            </w:r>
          </w:p>
        </w:tc>
        <w:tc>
          <w:tcPr/>
          <w:p>
            <w:pPr>
              <w:pStyle w:val="Compact"/>
              <w:jc w:val="left"/>
            </w:pPr>
            <w:r>
              <w:t xml:space="preserve">Dutch assumptions and elasticity values are not automatically valid in China; policy-neutrality wording in that paper does not remove LCA requirements.</w:t>
            </w:r>
          </w:p>
        </w:tc>
      </w:tr>
      <w:tr>
        <w:tc>
          <w:tcPr/>
          <w:p>
            <w:pPr>
              <w:pStyle w:val="Compact"/>
              <w:jc w:val="left"/>
            </w:pPr>
            <w:r>
              <w:t xml:space="preserve">9</w:t>
            </w:r>
          </w:p>
        </w:tc>
        <w:tc>
          <w:tcPr/>
          <w:p>
            <w:pPr>
              <w:pStyle w:val="Compact"/>
              <w:jc w:val="left"/>
            </w:pPr>
            <w:r>
              <w:t xml:space="preserve">Proost et al. (2026); Recent economic context</w:t>
            </w:r>
          </w:p>
        </w:tc>
        <w:tc>
          <w:tcPr/>
          <w:p>
            <w:pPr>
              <w:pStyle w:val="Compact"/>
              <w:jc w:val="left"/>
            </w:pPr>
            <w:r>
              <w:t xml:space="preserve">Abstract and selected open full-text conclusions read.</w:t>
            </w:r>
          </w:p>
        </w:tc>
        <w:tc>
          <w:tcPr/>
          <w:p>
            <w:pPr>
              <w:pStyle w:val="Compact"/>
              <w:jc w:val="left"/>
            </w:pPr>
            <w:r>
              <w:t xml:space="preserve">Economic analysis shows instrument interactions and potential rebound effects should be considered when interpreting fuel-efficiency policy.</w:t>
            </w:r>
          </w:p>
        </w:tc>
        <w:tc>
          <w:tcPr/>
          <w:p>
            <w:pPr>
              <w:pStyle w:val="Compact"/>
              <w:jc w:val="left"/>
            </w:pPr>
            <w:r>
              <w:t xml:space="preserve">A theoretical/economic policy analysis; it does not identify an aggregate Chinese rebound elasticity.</w:t>
            </w:r>
          </w:p>
        </w:tc>
      </w:tr>
      <w:tr>
        <w:tc>
          <w:tcPr/>
          <w:p>
            <w:pPr>
              <w:pStyle w:val="Compact"/>
              <w:jc w:val="left"/>
            </w:pPr>
            <w:r>
              <w:t xml:space="preserve">10</w:t>
            </w:r>
          </w:p>
        </w:tc>
        <w:tc>
          <w:tcPr/>
          <w:p>
            <w:pPr>
              <w:pStyle w:val="Compact"/>
              <w:jc w:val="left"/>
            </w:pPr>
            <w:r>
              <w:t xml:space="preserve">Quadros et al. (2026); Recent boundary context</w:t>
            </w:r>
          </w:p>
        </w:tc>
        <w:tc>
          <w:tcPr/>
          <w:p>
            <w:pPr>
              <w:pStyle w:val="Compact"/>
              <w:jc w:val="left"/>
            </w:pPr>
            <w:r>
              <w:t xml:space="preserve">Abstract and selected open full-text scenarios/atmospheric-model methods read.</w:t>
            </w:r>
          </w:p>
        </w:tc>
        <w:tc>
          <w:tcPr/>
          <w:p>
            <w:pPr>
              <w:pStyle w:val="Compact"/>
              <w:jc w:val="left"/>
            </w:pPr>
            <w:r>
              <w:t xml:space="preserve">Aviation sustainability includes air-quality/health impacts beyond a CO2-only inventory.</w:t>
            </w:r>
          </w:p>
        </w:tc>
        <w:tc>
          <w:tcPr/>
          <w:p>
            <w:pPr>
              <w:pStyle w:val="Compact"/>
              <w:jc w:val="left"/>
            </w:pPr>
            <w:r>
              <w:t xml:space="preserve">Do not sum PM2.5- and ozone-attributable deaths without considering overlap; do not label its global modeled impacts Chinese observed outcomes.</w:t>
            </w:r>
          </w:p>
        </w:tc>
      </w:tr>
      <w:tr>
        <w:tc>
          <w:tcPr/>
          <w:p>
            <w:pPr>
              <w:pStyle w:val="Compact"/>
              <w:jc w:val="left"/>
            </w:pPr>
            <w:r>
              <w:t xml:space="preserve">11</w:t>
            </w:r>
          </w:p>
        </w:tc>
        <w:tc>
          <w:tcPr/>
          <w:p>
            <w:pPr>
              <w:pStyle w:val="Compact"/>
              <w:jc w:val="left"/>
            </w:pPr>
            <w:r>
              <w:t xml:space="preserve">Gössling et al. (2024); Optional demand/distribution context</w:t>
            </w:r>
          </w:p>
        </w:tc>
        <w:tc>
          <w:tcPr/>
          <w:p>
            <w:pPr>
              <w:pStyle w:val="Compact"/>
              <w:jc w:val="left"/>
            </w:pPr>
            <w:r>
              <w:t xml:space="preserve">Official publisher abstract read; open full text retrieved.</w:t>
            </w:r>
          </w:p>
        </w:tc>
        <w:tc>
          <w:tcPr/>
          <w:p>
            <w:pPr>
              <w:pStyle w:val="Compact"/>
              <w:jc w:val="left"/>
            </w:pPr>
            <w:r>
              <w:t xml:space="preserve">Private aviation has distinct growth and distribution patterns, reinforcing the need for explicit aviation coverage.</w:t>
            </w:r>
          </w:p>
        </w:tc>
        <w:tc>
          <w:tcPr/>
          <w:p>
            <w:pPr>
              <w:pStyle w:val="Compact"/>
              <w:jc w:val="left"/>
            </w:pPr>
            <w:r>
              <w:t xml:space="preserve">Private aviation is outside a commercial transport-operator study unless explicitly included. Prefer omit if word-limited.</w:t>
            </w:r>
          </w:p>
        </w:tc>
      </w:tr>
      <w:tr>
        <w:tc>
          <w:tcPr/>
          <w:p>
            <w:pPr>
              <w:pStyle w:val="Compact"/>
              <w:jc w:val="left"/>
            </w:pPr>
            <w:r>
              <w:t xml:space="preserve">12</w:t>
            </w:r>
          </w:p>
        </w:tc>
        <w:tc>
          <w:tcPr/>
          <w:p>
            <w:pPr>
              <w:pStyle w:val="Compact"/>
              <w:jc w:val="left"/>
            </w:pPr>
            <w:r>
              <w:t xml:space="preserve">Dray et al. (2022); Older foundational counterpoint</w:t>
            </w:r>
          </w:p>
        </w:tc>
        <w:tc>
          <w:tcPr/>
          <w:p>
            <w:pPr>
              <w:pStyle w:val="Compact"/>
              <w:jc w:val="left"/>
            </w:pPr>
            <w:r>
              <w:t xml:space="preserve">Official publisher abstract read; full text paywalled.</w:t>
            </w:r>
          </w:p>
        </w:tc>
        <w:tc>
          <w:tcPr/>
          <w:p>
            <w:pPr>
              <w:pStyle w:val="Compact"/>
              <w:jc w:val="left"/>
            </w:pPr>
            <w:r>
              <w:t xml:space="preserve">Under its modeled pathways, large lifecycle CO2 reductions can coexist with demand growth, but residual non-CO2 impacts remain.</w:t>
            </w:r>
          </w:p>
        </w:tc>
        <w:tc>
          <w:tcPr/>
          <w:p>
            <w:pPr>
              <w:pStyle w:val="Compact"/>
              <w:jc w:val="left"/>
            </w:pPr>
            <w:r>
              <w:t xml:space="preserve">Use alongside Sacchi rather than implying consensus that demand reduction is always mathematically necessary; assumptions differ.</w:t>
            </w:r>
          </w:p>
        </w:tc>
      </w:tr>
      <w:tr>
        <w:tc>
          <w:tcPr/>
          <w:p>
            <w:pPr>
              <w:pStyle w:val="Compact"/>
              <w:jc w:val="left"/>
            </w:pPr>
            <w:r>
              <w:t xml:space="preserve">13</w:t>
            </w:r>
          </w:p>
        </w:tc>
        <w:tc>
          <w:tcPr/>
          <w:p>
            <w:pPr>
              <w:pStyle w:val="Compact"/>
              <w:jc w:val="left"/>
            </w:pPr>
            <w:r>
              <w:t xml:space="preserve">Grewe et al. (2021); Older foundational context</w:t>
            </w:r>
          </w:p>
        </w:tc>
        <w:tc>
          <w:tcPr/>
          <w:p>
            <w:pPr>
              <w:pStyle w:val="Compact"/>
              <w:jc w:val="left"/>
            </w:pPr>
            <w:r>
              <w:t xml:space="preserve">Abstract and selected open full-text scenario/methods paragraphs read.</w:t>
            </w:r>
          </w:p>
        </w:tc>
        <w:tc>
          <w:tcPr/>
          <w:p>
            <w:pPr>
              <w:pStyle w:val="Compact"/>
              <w:jc w:val="left"/>
            </w:pPr>
            <w:r>
              <w:t xml:space="preserve">Bottom-up technology/SAF and COVID-recovery scenarios distinguish emissions targets from temperature outcomes.</w:t>
            </w:r>
          </w:p>
        </w:tc>
        <w:tc>
          <w:tcPr/>
          <w:p>
            <w:pPr>
              <w:pStyle w:val="Compact"/>
              <w:jc w:val="left"/>
            </w:pPr>
            <w:r>
              <w:t xml:space="preserve">Older scenario assumptions/CORSIA descriptions should not be cited as current policy. Use only for method/climate-boundary context.</w:t>
            </w:r>
          </w:p>
        </w:tc>
      </w:tr>
    </w:tbl>
    <w:bookmarkStart w:id="33" w:name="short-evidence-excerpts"/>
    <w:p>
      <w:pPr>
        <w:pStyle w:val="Heading2"/>
      </w:pPr>
      <w:r>
        <w:t xml:space="preserve">Short evidence excerpts</w:t>
      </w:r>
    </w:p>
    <w:p>
      <w:pPr>
        <w:numPr>
          <w:ilvl w:val="0"/>
          <w:numId w:val="1001"/>
        </w:numPr>
      </w:pPr>
      <w:hyperlink r:id="rId20">
        <w:r>
          <w:rPr>
            <w:rStyle w:val="Hyperlink"/>
          </w:rPr>
          <w:t xml:space="preserve">Pathways to net-zero emissions from aviation</w:t>
        </w:r>
      </w:hyperlink>
      <w:r>
        <w:t xml:space="preserve">:</w:t>
      </w:r>
      <w:r>
        <w:t xml:space="preserve"> </w:t>
      </w:r>
      <w:r>
        <w:t xml:space="preserve">“</w:t>
      </w:r>
      <w:r>
        <w:t xml:space="preserve">ambitious reductions in demand for air transport and improvements in the energy efficiency of aircraft</w:t>
      </w:r>
      <w:r>
        <w:t xml:space="preserve">”</w:t>
      </w:r>
    </w:p>
    <w:p>
      <w:pPr>
        <w:numPr>
          <w:ilvl w:val="0"/>
          <w:numId w:val="1001"/>
        </w:numPr>
      </w:pPr>
      <w:hyperlink r:id="rId21">
        <w:r>
          <w:rPr>
            <w:rStyle w:val="Hyperlink"/>
          </w:rPr>
          <w:t xml:space="preserve">How to make climate-neutral aviation fly</w:t>
        </w:r>
      </w:hyperlink>
      <w:r>
        <w:t xml:space="preserve">:</w:t>
      </w:r>
      <w:r>
        <w:t xml:space="preserve"> </w:t>
      </w:r>
      <w:r>
        <w:t xml:space="preserve">“</w:t>
      </w:r>
      <w:r>
        <w:t xml:space="preserve">with a continuous increase in air traffic, synthetic jet fuel produced with electricity from renewables would exert excessive pressure</w:t>
      </w:r>
      <w:r>
        <w:t xml:space="preserve">”</w:t>
      </w:r>
    </w:p>
    <w:p>
      <w:pPr>
        <w:numPr>
          <w:ilvl w:val="0"/>
          <w:numId w:val="1001"/>
        </w:numPr>
      </w:pPr>
      <w:hyperlink r:id="rId22">
        <w:r>
          <w:rPr>
            <w:rStyle w:val="Hyperlink"/>
          </w:rPr>
          <w:t xml:space="preserve">The potential scale-up of sustainable aviation fuels production capacity to meet global and EU policy targets</w:t>
        </w:r>
      </w:hyperlink>
      <w:r>
        <w:t xml:space="preserve">:</w:t>
      </w:r>
      <w:r>
        <w:t xml:space="preserve"> </w:t>
      </w:r>
      <w:r>
        <w:t xml:space="preserve">“</w:t>
      </w:r>
      <w:r>
        <w:t xml:space="preserve">only 24% (26% in the EU) of the announced capacity was realized on time by 2024</w:t>
      </w:r>
      <w:r>
        <w:t xml:space="preserve">”</w:t>
      </w:r>
    </w:p>
    <w:p>
      <w:pPr>
        <w:numPr>
          <w:ilvl w:val="0"/>
          <w:numId w:val="1001"/>
        </w:numPr>
      </w:pPr>
      <w:hyperlink r:id="rId23">
        <w:r>
          <w:rPr>
            <w:rStyle w:val="Hyperlink"/>
          </w:rPr>
          <w:t xml:space="preserve">Global aviation contrail climate effects from 2019 to 2021</w:t>
        </w:r>
      </w:hyperlink>
      <w:r>
        <w:t xml:space="preserve">:</w:t>
      </w:r>
      <w:r>
        <w:t xml:space="preserve"> </w:t>
      </w:r>
      <w:r>
        <w:t xml:space="preserve">“</w:t>
      </w:r>
      <w:r>
        <w:t xml:space="preserve">only 2 % of all flights caused 80 % of the annual contrail energy forcing</w:t>
      </w:r>
      <w:r>
        <w:t xml:space="preserve">”</w:t>
      </w:r>
    </w:p>
    <w:p>
      <w:pPr>
        <w:numPr>
          <w:ilvl w:val="0"/>
          <w:numId w:val="1001"/>
        </w:numPr>
      </w:pPr>
      <w:hyperlink r:id="rId24">
        <w:r>
          <w:rPr>
            <w:rStyle w:val="Hyperlink"/>
          </w:rPr>
          <w:t xml:space="preserve">Pathways analysis to reducing aircraft emissions for China-Foreign routes</w:t>
        </w:r>
      </w:hyperlink>
      <w:r>
        <w:t xml:space="preserve">:</w:t>
      </w:r>
      <w:r>
        <w:t xml:space="preserve"> </w:t>
      </w:r>
      <w:r>
        <w:t xml:space="preserve">“</w:t>
      </w:r>
      <w:r>
        <w:t xml:space="preserve">the best way is to combine SAFs and ETS</w:t>
      </w:r>
      <w:r>
        <w:t xml:space="preserve">”</w:t>
      </w:r>
    </w:p>
    <w:p>
      <w:pPr>
        <w:numPr>
          <w:ilvl w:val="0"/>
          <w:numId w:val="1001"/>
        </w:numPr>
      </w:pPr>
      <w:hyperlink r:id="rId25">
        <w:r>
          <w:rPr>
            <w:rStyle w:val="Hyperlink"/>
          </w:rPr>
          <w:t xml:space="preserve">What drives the decoupling progress of China’s civil aviation transportation growth from carbon emissions? A new decomposition analysis</w:t>
        </w:r>
      </w:hyperlink>
      <w:r>
        <w:t xml:space="preserve">:</w:t>
      </w:r>
      <w:r>
        <w:t xml:space="preserve"> </w:t>
      </w:r>
      <w:r>
        <w:t xml:space="preserve">“</w:t>
      </w:r>
      <w:r>
        <w:t xml:space="preserve">the relationship between carbon emissions and transport turnover is dominated by the expansive coupling</w:t>
      </w:r>
      <w:r>
        <w:t xml:space="preserve">”</w:t>
      </w:r>
    </w:p>
    <w:p>
      <w:pPr>
        <w:numPr>
          <w:ilvl w:val="0"/>
          <w:numId w:val="1001"/>
        </w:numPr>
      </w:pPr>
      <w:hyperlink r:id="rId26">
        <w:r>
          <w:rPr>
            <w:rStyle w:val="Hyperlink"/>
          </w:rPr>
          <w:t xml:space="preserve">Growth over climate or aviation climate policy in the Avoid–Shift–Improve framework</w:t>
        </w:r>
      </w:hyperlink>
      <w:r>
        <w:t xml:space="preserve">:</w:t>
      </w:r>
      <w:r>
        <w:t xml:space="preserve"> </w:t>
      </w:r>
      <w:r>
        <w:t xml:space="preserve">“</w:t>
      </w:r>
      <w:r>
        <w:t xml:space="preserve">the current focus on (future) technological solutions</w:t>
      </w:r>
      <w:r>
        <w:t xml:space="preserve">”</w:t>
      </w:r>
    </w:p>
    <w:p>
      <w:pPr>
        <w:numPr>
          <w:ilvl w:val="0"/>
          <w:numId w:val="1001"/>
        </w:numPr>
      </w:pPr>
      <w:hyperlink r:id="rId27">
        <w:r>
          <w:rPr>
            <w:rStyle w:val="Hyperlink"/>
          </w:rPr>
          <w:t xml:space="preserve">Decarbonization Paths for the Dutch Aviation Sector</w:t>
        </w:r>
      </w:hyperlink>
      <w:r>
        <w:t xml:space="preserve">:</w:t>
      </w:r>
      <w:r>
        <w:t xml:space="preserve"> </w:t>
      </w:r>
      <w:r>
        <w:t xml:space="preserve">“</w:t>
      </w:r>
      <w:r>
        <w:t xml:space="preserve">the growth rate will be significantly lower than before 2019</w:t>
      </w:r>
      <w:r>
        <w:t xml:space="preserve">”</w:t>
      </w:r>
    </w:p>
    <w:p>
      <w:pPr>
        <w:numPr>
          <w:ilvl w:val="0"/>
          <w:numId w:val="1001"/>
        </w:numPr>
      </w:pPr>
      <w:hyperlink r:id="rId28">
        <w:r>
          <w:rPr>
            <w:rStyle w:val="Hyperlink"/>
          </w:rPr>
          <w:t xml:space="preserve">What role for aviation in climate policy?</w:t>
        </w:r>
      </w:hyperlink>
      <w:r>
        <w:t xml:space="preserve">:</w:t>
      </w:r>
      <w:r>
        <w:t xml:space="preserve"> </w:t>
      </w:r>
      <w:r>
        <w:t xml:space="preserve">“</w:t>
      </w:r>
      <w:r>
        <w:t xml:space="preserve">efficiency measures are expensive and are to some extent compensated by lower carbon taxes and by the rebound effect</w:t>
      </w:r>
      <w:r>
        <w:t xml:space="preserve">”</w:t>
      </w:r>
    </w:p>
    <w:p>
      <w:pPr>
        <w:numPr>
          <w:ilvl w:val="0"/>
          <w:numId w:val="1001"/>
        </w:numPr>
      </w:pPr>
      <w:hyperlink r:id="rId29">
        <w:r>
          <w:rPr>
            <w:rStyle w:val="Hyperlink"/>
          </w:rPr>
          <w:t xml:space="preserve">Global air quality and human health impacts of growing aircraft emissions</w:t>
        </w:r>
      </w:hyperlink>
      <w:r>
        <w:t xml:space="preserve">:</w:t>
      </w:r>
      <w:r>
        <w:t xml:space="preserve"> </w:t>
      </w:r>
      <w:r>
        <w:t xml:space="preserve">“</w:t>
      </w:r>
      <w:r>
        <w:t xml:space="preserve">use an atmospheric chemistry transport model to estimate their air quality and human health impacts</w:t>
      </w:r>
      <w:r>
        <w:t xml:space="preserve">”</w:t>
      </w:r>
    </w:p>
    <w:p>
      <w:pPr>
        <w:numPr>
          <w:ilvl w:val="0"/>
          <w:numId w:val="1001"/>
        </w:numPr>
      </w:pPr>
      <w:hyperlink r:id="rId30">
        <w:r>
          <w:rPr>
            <w:rStyle w:val="Hyperlink"/>
          </w:rPr>
          <w:t xml:space="preserve">Private aviation is making a growing contribution to climate change</w:t>
        </w:r>
      </w:hyperlink>
      <w:r>
        <w:t xml:space="preserve">:</w:t>
      </w:r>
      <w:r>
        <w:t xml:space="preserve"> </w:t>
      </w:r>
      <w:r>
        <w:t xml:space="preserve">“</w:t>
      </w:r>
      <w:r>
        <w:t xml:space="preserve">Emissions increased by 46% between 2019-2023</w:t>
      </w:r>
      <w:r>
        <w:t xml:space="preserve">”</w:t>
      </w:r>
    </w:p>
    <w:p>
      <w:pPr>
        <w:numPr>
          <w:ilvl w:val="0"/>
          <w:numId w:val="1001"/>
        </w:numPr>
      </w:pPr>
      <w:hyperlink r:id="rId31">
        <w:r>
          <w:rPr>
            <w:rStyle w:val="Hyperlink"/>
          </w:rPr>
          <w:t xml:space="preserve">Cost and emissions pathways towards net-zero climate impacts in aviation</w:t>
        </w:r>
      </w:hyperlink>
      <w:r>
        <w:t xml:space="preserve">:</w:t>
      </w:r>
      <w:r>
        <w:t xml:space="preserve"> </w:t>
      </w:r>
      <w:r>
        <w:t xml:space="preserve">“</w:t>
      </w:r>
      <w:r>
        <w:t xml:space="preserve">our pathways reduce aviation CO2-equivalent emissions by only 46–69%</w:t>
      </w:r>
      <w:r>
        <w:t xml:space="preserve">”</w:t>
      </w:r>
    </w:p>
    <w:p>
      <w:pPr>
        <w:numPr>
          <w:ilvl w:val="0"/>
          <w:numId w:val="1001"/>
        </w:numPr>
      </w:pPr>
      <w:hyperlink r:id="rId32">
        <w:r>
          <w:rPr>
            <w:rStyle w:val="Hyperlink"/>
          </w:rPr>
          <w:t xml:space="preserve">Evaluating the climate impact of aviation emission scenarios towards the Paris agreement including COVID-19 effects</w:t>
        </w:r>
      </w:hyperlink>
      <w:r>
        <w:t xml:space="preserve">:</w:t>
      </w:r>
      <w:r>
        <w:t xml:space="preserve"> </w:t>
      </w:r>
      <w:r>
        <w:t xml:space="preserve">“</w:t>
      </w:r>
      <w:r>
        <w:t xml:space="preserve">a bottom-up analysis of potential technical improvements</w:t>
      </w:r>
      <w:r>
        <w:t xml:space="preserve">”</w:t>
      </w:r>
    </w:p>
    <w:bookmarkEnd w:id="33"/>
    <w:bookmarkStart w:id="34" w:name="contribution-positioning"/>
    <w:p>
      <w:pPr>
        <w:pStyle w:val="Heading2"/>
      </w:pPr>
      <w:r>
        <w:t xml:space="preserve">Contribution positioning</w:t>
      </w:r>
    </w:p>
    <w:p>
      <w:pPr>
        <w:pStyle w:val="FirstParagraph"/>
      </w:pPr>
      <w:r>
        <w:t xml:space="preserve">Prior China-specific work already decomposes the relationship between aviation growth and carbon emissions (Liu and Zhang, 2023, studying 1996–2015), and route-based work evaluates fuel/market-policy combinations (Cui and Lei, 2023, with 2014–2021 emissions). A credible new contribution must specify what a newer observed period, revised accounting boundary, threshold analysis or deployment-lag simulation adds. Do not claim that decomposition or Chinese aviation decoupling is itself new. Global pathway studies emphasize interacting demand, efficiency and fuel levers, with differing conclusions under different assumptions (Bergero et al., 2023; Dray et al., 2022; Sacchi et al., 2023). The recent SAF realization-gap evidence (Martulli et al., 2025) supports explicit treatment of deployment delay and uncertainty, without supplying China-specific causal parameters.</w:t>
      </w:r>
    </w:p>
    <w:bookmarkEnd w:id="34"/>
    <w:bookmarkStart w:id="35" w:name="excluded-metadata-only-recent-candidates"/>
    <w:p>
      <w:pPr>
        <w:pStyle w:val="Heading2"/>
      </w:pPr>
      <w:r>
        <w:t xml:space="preserve">Excluded metadata-only recent candidates</w:t>
      </w:r>
    </w:p>
    <w:p>
      <w:pPr>
        <w:pStyle w:val="FirstParagraph"/>
      </w:pPr>
      <w:r>
        <w:t xml:space="preserve">Crossref confirms the existence of Bardon et al. (2025), DOI 10.1016/j.jenvman.2024.123943; Jiang et al. (2024), DOI 10.1016/j.trd.2024.104055; and Abulibdeh (2026), DOI 10.1016/j.jclepro.2026.149589. ScienceDirect/Elsevier API remained blocked and no authoritative abstract was read. Their findings are not used as support. PubMed query redirects led to challenge pages, not readable abstracts.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doi.org/10.1038/s41467-021-24091-y" TargetMode="External" /><Relationship Type="http://schemas.openxmlformats.org/officeDocument/2006/relationships/hyperlink" Id="rId21" Target="https://doi.org/10.1038/s41467-023-39749-y" TargetMode="External" /><Relationship Type="http://schemas.openxmlformats.org/officeDocument/2006/relationships/hyperlink" Id="rId22" Target="https://doi.org/10.1038/s41467-025-66686-9" TargetMode="External" /><Relationship Type="http://schemas.openxmlformats.org/officeDocument/2006/relationships/hyperlink" Id="rId31" Target="https://doi.org/10.1038/s41558-022-01485-4" TargetMode="External" /><Relationship Type="http://schemas.openxmlformats.org/officeDocument/2006/relationships/hyperlink" Id="rId20" Target="https://doi.org/10.1038/s41893-022-01046-9" TargetMode="External" /><Relationship Type="http://schemas.openxmlformats.org/officeDocument/2006/relationships/hyperlink" Id="rId30" Target="https://doi.org/10.1038/s43247-024-01775-z" TargetMode="External" /><Relationship Type="http://schemas.openxmlformats.org/officeDocument/2006/relationships/hyperlink" Id="rId29" Target="https://doi.org/10.1038/s43247-026-03732-4" TargetMode="External" /><Relationship Type="http://schemas.openxmlformats.org/officeDocument/2006/relationships/hyperlink" Id="rId24" Target="https://doi.org/10.1038/s44168-023-00047-4" TargetMode="External" /><Relationship Type="http://schemas.openxmlformats.org/officeDocument/2006/relationships/hyperlink" Id="rId26" Target="https://doi.org/10.1038/s44168-025-00261-2" TargetMode="External" /><Relationship Type="http://schemas.openxmlformats.org/officeDocument/2006/relationships/hyperlink" Id="rId28" Target="https://doi.org/10.1186/s41072-026-00230-w" TargetMode="External" /><Relationship Type="http://schemas.openxmlformats.org/officeDocument/2006/relationships/hyperlink" Id="rId25" Target="https://doi.org/10.1371/journal.pone.0282025" TargetMode="External" /><Relationship Type="http://schemas.openxmlformats.org/officeDocument/2006/relationships/hyperlink" Id="rId27" Target="https://doi.org/10.3390/su16030950" TargetMode="External" /><Relationship Type="http://schemas.openxmlformats.org/officeDocument/2006/relationships/hyperlink" Id="rId23" Target="https://doi.org/10.5194/acp-24-6071-2024" TargetMode="External" /></Relationships>
</file>

<file path=word/_rels/footnotes.xml.rels><?xml version="1.0" encoding="UTF-8"?><Relationships xmlns="http://schemas.openxmlformats.org/package/2006/relationships"><Relationship Type="http://schemas.openxmlformats.org/officeDocument/2006/relationships/hyperlink" Id="rId32" Target="https://doi.org/10.1038/s41467-021-24091-y" TargetMode="External" /><Relationship Type="http://schemas.openxmlformats.org/officeDocument/2006/relationships/hyperlink" Id="rId21" Target="https://doi.org/10.1038/s41467-023-39749-y" TargetMode="External" /><Relationship Type="http://schemas.openxmlformats.org/officeDocument/2006/relationships/hyperlink" Id="rId22" Target="https://doi.org/10.1038/s41467-025-66686-9" TargetMode="External" /><Relationship Type="http://schemas.openxmlformats.org/officeDocument/2006/relationships/hyperlink" Id="rId31" Target="https://doi.org/10.1038/s41558-022-01485-4" TargetMode="External" /><Relationship Type="http://schemas.openxmlformats.org/officeDocument/2006/relationships/hyperlink" Id="rId20" Target="https://doi.org/10.1038/s41893-022-01046-9" TargetMode="External" /><Relationship Type="http://schemas.openxmlformats.org/officeDocument/2006/relationships/hyperlink" Id="rId30" Target="https://doi.org/10.1038/s43247-024-01775-z" TargetMode="External" /><Relationship Type="http://schemas.openxmlformats.org/officeDocument/2006/relationships/hyperlink" Id="rId29" Target="https://doi.org/10.1038/s43247-026-03732-4" TargetMode="External" /><Relationship Type="http://schemas.openxmlformats.org/officeDocument/2006/relationships/hyperlink" Id="rId24" Target="https://doi.org/10.1038/s44168-023-00047-4" TargetMode="External" /><Relationship Type="http://schemas.openxmlformats.org/officeDocument/2006/relationships/hyperlink" Id="rId26" Target="https://doi.org/10.1038/s44168-025-00261-2" TargetMode="External" /><Relationship Type="http://schemas.openxmlformats.org/officeDocument/2006/relationships/hyperlink" Id="rId28" Target="https://doi.org/10.1186/s41072-026-00230-w" TargetMode="External" /><Relationship Type="http://schemas.openxmlformats.org/officeDocument/2006/relationships/hyperlink" Id="rId25" Target="https://doi.org/10.1371/journal.pone.0282025" TargetMode="External" /><Relationship Type="http://schemas.openxmlformats.org/officeDocument/2006/relationships/hyperlink" Id="rId27" Target="https://doi.org/10.3390/su16030950" TargetMode="External" /><Relationship Type="http://schemas.openxmlformats.org/officeDocument/2006/relationships/hyperlink" Id="rId23" Target="https://doi.org/10.5194/acp-24-6071-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2026-10-16T04:58:23Z</dcterms:created>
  <dcterms:modified xsi:type="dcterms:W3CDTF">2026-10-16T04:58:23Z</dcterms:modified>
</cp:coreProperties>
</file>

<file path=docProps/custom.xml><?xml version="1.0" encoding="utf-8"?>
<Properties xmlns="http://schemas.openxmlformats.org/officeDocument/2006/custom-properties" xmlns:vt="http://schemas.openxmlformats.org/officeDocument/2006/docPropsVTypes"/>
</file>