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thod-and-software-source-verification"/>
    <w:p>
      <w:pPr>
        <w:pStyle w:val="Heading1"/>
      </w:pPr>
      <w:r>
        <w:t xml:space="preserve">Method and software source verification</w:t>
      </w:r>
    </w:p>
    <w:p>
      <w:pPr>
        <w:pStyle w:val="FirstParagraph"/>
      </w:pPr>
      <w:r>
        <w:t xml:space="preserve">Retrieved 16 October 2026 (Asia/Shanghai). These are additional methods sources, separate from the 13 aviation-content references.</w:t>
      </w:r>
    </w:p>
    <w:bookmarkStart w:id="20" w:name="X8c057135eeca9c7a1d910ed0801ce9b80d94799"/>
    <w:p>
      <w:pPr>
        <w:pStyle w:val="Heading2"/>
      </w:pPr>
      <w:r>
        <w:t xml:space="preserve">Ang (2005): bibliography verified, full text and abstract not read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t xml:space="preserve">Ang, B. W. (2005). The LMDI approach to decomposition analysis: a practical guide.</w:t>
      </w:r>
      <w:r>
        <w:t xml:space="preserve"> </w:t>
      </w:r>
      <w:r>
        <w:rPr>
          <w:i/>
          <w:iCs/>
        </w:rPr>
        <w:t xml:space="preserve">Energy Policy</w:t>
      </w:r>
      <w:r>
        <w:t xml:space="preserve">,</w:t>
      </w:r>
      <w:r>
        <w:t xml:space="preserve"> </w:t>
      </w:r>
      <w:r>
        <w:rPr>
          <w:b/>
          <w:bCs/>
        </w:rPr>
        <w:t xml:space="preserve">33</w:t>
      </w:r>
      <w:r>
        <w:t xml:space="preserve">(7), 867–871. https://doi.org/10.1016/j.enpol.2003.10.010</w:t>
      </w:r>
    </w:p>
    <w:p>
      <w:pPr>
        <w:pStyle w:val="Compact"/>
        <w:numPr>
          <w:ilvl w:val="0"/>
          <w:numId w:val="1001"/>
        </w:numPr>
      </w:pPr>
      <w:r>
        <w:t xml:space="preserve">Crossref DOI record retrieved successfully and saved as</w:t>
      </w:r>
      <w:r>
        <w:t xml:space="preserve"> </w:t>
      </w:r>
      <w:r>
        <w:rPr>
          <w:rStyle w:val="VerbatimChar"/>
        </w:rPr>
        <w:t xml:space="preserve">raw/ang2005_crossref.json</w:t>
      </w:r>
      <w:r>
        <w:t xml:space="preserve">; title, author, publication year, volume, issue and pages match the candidate supplied by the parent.</w:t>
      </w:r>
    </w:p>
    <w:p>
      <w:pPr>
        <w:pStyle w:val="Compact"/>
        <w:numPr>
          <w:ilvl w:val="0"/>
          <w:numId w:val="1001"/>
        </w:numPr>
      </w:pPr>
      <w:r>
        <w:t xml:space="preserve">Publisher page</w:t>
      </w:r>
      <w:r>
        <w:t xml:space="preserve"> </w:t>
      </w:r>
      <w:r>
        <w:rPr>
          <w:rStyle w:val="VerbatimChar"/>
        </w:rPr>
        <w:t xml:space="preserve">https://www.sciencedirect.com/science/article/pii/S0301421503003136</w:t>
      </w:r>
      <w:r>
        <w:t xml:space="preserve"> </w:t>
      </w:r>
      <w:r>
        <w:t xml:space="preserve">returned proxy 403. Its</w:t>
      </w:r>
      <w:r>
        <w:t xml:space="preserve"> </w:t>
      </w:r>
      <w:r>
        <w:rPr>
          <w:rStyle w:val="VerbatimChar"/>
        </w:rPr>
        <w:t xml:space="preserve">/abs/</w:t>
      </w:r>
      <w:r>
        <w:t xml:space="preserve"> </w:t>
      </w:r>
      <w:r>
        <w:t xml:space="preserve">equivalent also returned 403.</w:t>
      </w:r>
    </w:p>
    <w:p>
      <w:pPr>
        <w:pStyle w:val="Compact"/>
        <w:numPr>
          <w:ilvl w:val="0"/>
          <w:numId w:val="1001"/>
        </w:numPr>
      </w:pPr>
      <w:r>
        <w:t xml:space="preserve">RePEc bibliographic page</w:t>
      </w:r>
      <w:r>
        <w:t xml:space="preserve"> </w:t>
      </w:r>
      <w:r>
        <w:rPr>
          <w:rStyle w:val="VerbatimChar"/>
        </w:rPr>
        <w:t xml:space="preserve">https://ideas.repec.org/a/eee/enepol/v33y2005i7p867-871.html</w:t>
      </w:r>
      <w:r>
        <w:t xml:space="preserve"> </w:t>
      </w:r>
      <w:r>
        <w:t xml:space="preserve">was successfully read and independently confirms these bibliographic details. It explicitly reports:</w:t>
      </w:r>
      <w:r>
        <w:t xml:space="preserve"> </w:t>
      </w:r>
      <w:r>
        <w:t xml:space="preserve">“</w:t>
      </w:r>
      <w:r>
        <w:t xml:space="preserve">No abstract is available for this item.</w:t>
      </w:r>
      <w:r>
        <w:t xml:space="preserve">”</w:t>
      </w:r>
      <w:r>
        <w:t xml:space="preserve"> </w:t>
      </w:r>
      <w:r>
        <w:t xml:space="preserve">Original page and text are saved as</w:t>
      </w:r>
      <w:r>
        <w:t xml:space="preserve"> </w:t>
      </w:r>
      <w:r>
        <w:rPr>
          <w:rStyle w:val="VerbatimChar"/>
        </w:rPr>
        <w:t xml:space="preserve">raw/ang2005_repec.html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boundary:</w:t>
      </w:r>
      <w:r>
        <w:t xml:space="preserve"> </w:t>
      </w:r>
      <w:r>
        <w:t xml:space="preserve">this is a verified bibliographic method reference, not an original-paper content appraisal. Do not attribute detailed properties, robustness claims or a quotation to a full text that was not read. The manuscript’s stated decomposition equations and zero-residual numerical checks should be self-contained and independently verified. The author may consult the full original paper before submission.</w:t>
      </w:r>
    </w:p>
    <w:bookmarkEnd w:id="20"/>
    <w:bookmarkStart w:id="21" w:name="X76391cc2d3ecb66cdb598b0c92c8be746fd057c"/>
    <w:p>
      <w:pPr>
        <w:pStyle w:val="Heading2"/>
      </w:pPr>
      <w:r>
        <w:t xml:space="preserve">Virtanen et al. (2020): official abstract and open full text available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t xml:space="preserve">Virtanen, P., Gommers, R., Oliphant, T. E., Haberland, M., Reddy, T., Cournapeau, D., Burovski, E., Peterson, P., Weckesser, W., Bright, J., et al.; SciPy 1.0 Contributors (2020). SciPy 1.0: fundamental algorithms for scientific computing in Python.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,</w:t>
      </w:r>
      <w:r>
        <w:t xml:space="preserve"> </w:t>
      </w:r>
      <w:r>
        <w:rPr>
          <w:b/>
          <w:bCs/>
        </w:rPr>
        <w:t xml:space="preserve">17</w:t>
      </w:r>
      <w:r>
        <w:t xml:space="preserve">(3), 261–272. https://doi.org/10.1038/s41592-019-0686-2</w:t>
      </w:r>
    </w:p>
    <w:p>
      <w:pPr>
        <w:pStyle w:val="Compact"/>
        <w:numPr>
          <w:ilvl w:val="0"/>
          <w:numId w:val="1002"/>
        </w:numPr>
      </w:pPr>
      <w:r>
        <w:t xml:space="preserve">Crossref record and official Nature Methods article successfully retrieved; full author metadata are retained in</w:t>
      </w:r>
      <w:r>
        <w:t xml:space="preserve"> </w:t>
      </w:r>
      <w:r>
        <w:rPr>
          <w:rStyle w:val="VerbatimChar"/>
        </w:rPr>
        <w:t xml:space="preserve">raw/scipy2020_crossref.json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Official source: https://www.nature.com/articles/s41592-019-0686-2</w:t>
      </w:r>
    </w:p>
    <w:p>
      <w:pPr>
        <w:pStyle w:val="Compact"/>
        <w:numPr>
          <w:ilvl w:val="0"/>
          <w:numId w:val="1002"/>
        </w:numPr>
      </w:pPr>
      <w:r>
        <w:t xml:space="preserve">Original page and extracted text:</w:t>
      </w:r>
      <w:r>
        <w:t xml:space="preserve"> </w:t>
      </w:r>
      <w:r>
        <w:rPr>
          <w:rStyle w:val="VerbatimChar"/>
        </w:rPr>
        <w:t xml:space="preserve">raw/scipy2020_publisher.html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official abstract identifies SciPy as an open-source Python scientific-computing library and describes an overview of its capabilities and development practices. This supports the software citation.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Boundary:</w:t>
      </w:r>
      <w:r>
        <w:t xml:space="preserve"> </w:t>
      </w:r>
      <w:r>
        <w:t xml:space="preserve">this 2020 paper does not discuss</w:t>
      </w:r>
      <w:r>
        <w:t xml:space="preserve"> </w:t>
      </w:r>
      <w:r>
        <w:rPr>
          <w:rStyle w:val="VerbatimChar"/>
        </w:rPr>
        <w:t xml:space="preserve">stats.qmc</w:t>
      </w:r>
      <w:r>
        <w:t xml:space="preserve"> </w:t>
      </w:r>
      <w:r>
        <w:t xml:space="preserve">or Sobol sampling in its visible text. It should not be used as evidence for current Sobol API defaults or balance properties; use current official API documentation for those details and report the version actually run.</w:t>
      </w:r>
    </w:p>
    <w:bookmarkEnd w:id="21"/>
    <w:bookmarkStart w:id="22" w:name="current-sobol-api"/>
    <w:p>
      <w:pPr>
        <w:pStyle w:val="Heading2"/>
      </w:pPr>
      <w:r>
        <w:t xml:space="preserve">Current Sobol API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policy/scipy_qmc_verified_2026-10-16.md</w:t>
      </w:r>
      <w:r>
        <w:t xml:space="preserve"> </w:t>
      </w:r>
      <w:r>
        <w:t xml:space="preserve">(verification complete) and its saved official documentation. Use the actual analyzed SciPy version and actual constructor arguments, sample count, scrambling flag and random generator/seed in the manuscript and code. A quasi-Monte Carlo share across chosen parameter bounds is not an observed probability or a data-estimated probability distribution.</w:t>
      </w:r>
    </w:p>
    <w:p>
      <w:pPr>
        <w:pStyle w:val="BodyText"/>
      </w:pPr>
      <w:r>
        <w:t xml:space="preserve">The official documentation retrieved is labeled SciPy 1.18.0. It states that</w:t>
      </w:r>
      <w:r>
        <w:t xml:space="preserve"> </w:t>
      </w:r>
      <w:r>
        <w:rPr>
          <w:rStyle w:val="VerbatimChar"/>
        </w:rPr>
        <w:t xml:space="preserve">random_base2(m)</w:t>
      </w:r>
      <w:r>
        <w:t xml:space="preserve"> </w:t>
      </w:r>
      <w:r>
        <w:t xml:space="preserve">generates 2^m points with balance properties; skipping the first point, thinning, or using arbitrary non-power-of-two sample counts loses these properties.</w:t>
      </w:r>
      <w:r>
        <w:t xml:space="preserve"> </w:t>
      </w:r>
      <w:r>
        <w:rPr>
          <w:rStyle w:val="VerbatimChar"/>
        </w:rPr>
        <w:t xml:space="preserve">scramble=True</w:t>
      </w:r>
      <w:r>
        <w:t xml:space="preserve"> </w:t>
      </w:r>
      <w:r>
        <w:t xml:space="preserve">applies LMS followed by digital random shift.</w:t>
      </w:r>
      <w:r>
        <w:t xml:space="preserve"> </w:t>
      </w:r>
      <w:r>
        <w:rPr>
          <w:rStyle w:val="VerbatimChar"/>
        </w:rPr>
        <w:t xml:space="preserve">bits</w:t>
      </w:r>
      <w:r>
        <w:t xml:space="preserve"> </w:t>
      </w:r>
      <w:r>
        <w:t xml:space="preserve">defaults to 30 when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is limited to 64; it controls sequence length 2^B, while output dtype is</w:t>
      </w:r>
      <w:r>
        <w:t xml:space="preserve"> </w:t>
      </w:r>
      <w:r>
        <w:rPr>
          <w:rStyle w:val="VerbatimChar"/>
        </w:rPr>
        <w:t xml:space="preserve">numpy.float64</w:t>
      </w:r>
      <w:r>
        <w:t xml:space="preserve">. Sobol sequence sampling does not itself constitute Sobol sensitivity analysis.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2026-10-16T04:58:23Z</dcterms:created>
  <dcterms:modified xsi:type="dcterms:W3CDTF">2026-10-16T04:58:23Z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