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1ebab940e5b8e2105e26d4b3e3b48f728eedd7"/>
    <w:p>
      <w:pPr>
        <w:pStyle w:val="Heading1"/>
      </w:pPr>
      <w:r>
        <w:t xml:space="preserve">Official aviation data acquisition status</w:t>
      </w:r>
    </w:p>
    <w:p>
      <w:pPr>
        <w:pStyle w:val="FirstParagraph"/>
      </w:pPr>
      <w:r>
        <w:t xml:space="preserve">Status at 2026-10-16 UTC:</w:t>
      </w:r>
      <w:r>
        <w:t xml:space="preserve"> </w:t>
      </w:r>
      <w:r>
        <w:rPr>
          <w:b/>
          <w:bCs/>
        </w:rPr>
        <w:t xml:space="preserve">Official sources retrieved successfully. Core observed Q/I series: 2015–2025 (11 years).</w:t>
      </w:r>
    </w:p>
    <w:bookmarkStart w:id="20" w:name="what-was-verified"/>
    <w:p>
      <w:pPr>
        <w:pStyle w:val="Heading2"/>
      </w:pPr>
      <w:r>
        <w:t xml:space="preserve">What was verified</w:t>
      </w:r>
    </w:p>
    <w:p>
      <w:pPr>
        <w:pStyle w:val="Compact"/>
        <w:numPr>
          <w:ilvl w:val="0"/>
          <w:numId w:val="1001"/>
        </w:numPr>
      </w:pPr>
      <w:r>
        <w:t xml:space="preserve">Sixteen original CAAC annual Civil Aviation Industry Development Statistical Bulletin PDFs, covering 2010–2025, were downloaded from</w:t>
      </w:r>
      <w:r>
        <w:t xml:space="preserve"> </w:t>
      </w:r>
      <w:r>
        <w:rPr>
          <w:rStyle w:val="VerbatimChar"/>
        </w:rPr>
        <w:t xml:space="preserve">www.caac.gov.cn</w:t>
      </w:r>
      <w:r>
        <w:t xml:space="preserve">. Raw files, full SHA-256 digests, retrieval timestamps, exact excerpts and physical PDF page locators are archived.</w:t>
      </w:r>
    </w:p>
    <w:p>
      <w:pPr>
        <w:pStyle w:val="Compact"/>
        <w:numPr>
          <w:ilvl w:val="0"/>
          <w:numId w:val="1001"/>
        </w:numPr>
      </w:pPr>
      <w:r>
        <w:t xml:space="preserve">Total transport turnover is available for 2010–2025. The annual bulletin does not report a verifiable annual fuel-intensity value for 2010–2014; these cells remain missing and are excluded from the common sample. The 11-year intensity series is 0.294, 0.293, 0.293, 0.287, 0.285, 0.316, 0.309, 0.302, 0.292, 0.271 and 0.260 kg/tkm (2015–2025).</w:t>
      </w:r>
    </w:p>
    <w:p>
      <w:pPr>
        <w:pStyle w:val="Compact"/>
        <w:numPr>
          <w:ilvl w:val="0"/>
          <w:numId w:val="1001"/>
        </w:numPr>
      </w:pPr>
      <w:r>
        <w:t xml:space="preserve">NBS China Statistical Yearbook 2025 Table 16-29 was downloaded as the official JPG and visually checked. Its total-turnover values for 2010, 2020, 2022, 2023 and 2024 agree with CAAC annual-bulletin values within the bulletin’s 0.01 hundred-million tonne-km rounding precision. See</w:t>
      </w:r>
      <w:r>
        <w:t xml:space="preserve"> </w:t>
      </w:r>
      <w:r>
        <w:rPr>
          <w:rStyle w:val="VerbatimChar"/>
        </w:rPr>
        <w:t xml:space="preserve">nbs_crosscheck.csv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All sixteen archived CAAC bulletin PDF SHA-256 digests were rechecked against the ledger. The canonical 11-row empirical input is</w:t>
      </w:r>
      <w:r>
        <w:t xml:space="preserve"> </w:t>
      </w:r>
      <w:r>
        <w:rPr>
          <w:rStyle w:val="VerbatimChar"/>
        </w:rPr>
        <w:t xml:space="preserve">/workspace/research/source/verified_data.csv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verified_observation_ledger_2015_2025.json</w:t>
      </w:r>
      <w:r>
        <w:t xml:space="preserve"> </w:t>
      </w:r>
      <w:r>
        <w:t xml:space="preserve">preserves original evidence.</w:t>
      </w:r>
    </w:p>
    <w:bookmarkEnd w:id="20"/>
    <w:bookmarkStart w:id="21" w:name="statistical-population-decision"/>
    <w:p>
      <w:pPr>
        <w:pStyle w:val="Heading2"/>
      </w:pPr>
      <w:r>
        <w:t xml:space="preserve">Statistical population decision</w:t>
      </w:r>
    </w:p>
    <w:p>
      <w:pPr>
        <w:pStyle w:val="FirstParagraph"/>
      </w:pPr>
      <w:r>
        <w:t xml:space="preserve">Q is transport turnover of mainland-registered commercial air carriers on domestic (including Hong Kong/Macao/Taiwan routes) and international services, not airport throughput and not the statistics of Hong Kong/Macao/Taiwan-registered carriers.</w:t>
      </w:r>
    </w:p>
    <w:p>
      <w:pPr>
        <w:pStyle w:val="BodyText"/>
      </w:pPr>
      <w:r>
        <w:t xml:space="preserve">I is interpreted as transport-aviation fuel per transport tonne-km using official anchors and continuity of the identically named, common-2005-baseline annual series. The independent source reviewer supported this bounded interpretation.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that each annual bulletin repeats the denominator definition or that carrier microdata were matched year by year.</w:t>
      </w:r>
    </w:p>
    <w:p>
      <w:pPr>
        <w:pStyle w:val="BodyText"/>
      </w:pPr>
      <w:r>
        <w:t xml:space="preserve">The supporting anchors are the CAAC 2020 press conference explicitly identifying 2019</w:t>
      </w:r>
      <w:r>
        <w:t xml:space="preserve"> </w:t>
      </w:r>
      <w:r>
        <w:rPr>
          <w:b/>
          <w:bCs/>
        </w:rPr>
        <w:t xml:space="preserve">transport aviation</w:t>
      </w:r>
      <w:r>
        <w:t xml:space="preserve"> </w:t>
      </w:r>
      <w:r>
        <w:t xml:space="preserve">intensity as 0.285 kg/tkm, the 2022 policy/action page linking transport-fleet 2019 0.285 with 2021 0.309 in the same discussion, and the 2024 official survey system’s item 126 transport-fuel/transport-turnover formula. See</w:t>
      </w:r>
      <w:r>
        <w:t xml:space="preserve"> </w:t>
      </w:r>
      <w:r>
        <w:rPr>
          <w:rStyle w:val="VerbatimChar"/>
        </w:rPr>
        <w:t xml:space="preserve">scope_alignment_decision.json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/workspace/research/scope_audit/</w:t>
      </w:r>
      <w:r>
        <w:t xml:space="preserve"> </w:t>
      </w:r>
      <w:r>
        <w:t xml:space="preserve">for the independent audit.</w:t>
      </w:r>
    </w:p>
    <w:p>
      <w:pPr>
        <w:pStyle w:val="Compact"/>
        <w:numPr>
          <w:ilvl w:val="0"/>
          <w:numId w:val="1002"/>
        </w:numPr>
      </w:pPr>
      <w:r>
        <w:t xml:space="preserve">https://www.caac.gov.cn/XWZX/MHYW/202012/t20201222_205702.html</w:t>
      </w:r>
    </w:p>
    <w:p>
      <w:pPr>
        <w:pStyle w:val="Compact"/>
        <w:numPr>
          <w:ilvl w:val="0"/>
          <w:numId w:val="1002"/>
        </w:numPr>
      </w:pPr>
      <w:r>
        <w:t xml:space="preserve">https://www.caac.gov.cn/XWZX/MHYW/202209/t20220923_215418.html</w:t>
      </w:r>
    </w:p>
    <w:p>
      <w:pPr>
        <w:pStyle w:val="Compact"/>
        <w:numPr>
          <w:ilvl w:val="0"/>
          <w:numId w:val="1002"/>
        </w:numPr>
      </w:pPr>
      <w:r>
        <w:t xml:space="preserve">https://www.caac.gov.cn/XXGK/XXGK/TJSJ/202406/P020240604342006406114.pdf (physical p.84 = printed p.80, item 126; also physical p.33 = printed p.29, fuel survey table)</w:t>
      </w:r>
    </w:p>
    <w:p>
      <w:pPr>
        <w:pStyle w:val="FirstParagraph"/>
      </w:pPr>
      <w:r>
        <w:t xml:space="preserve">The 2024 system separately defines general-aviation and combined converted-turnover formulas. Those definitions are not silently substituted for transport turnover. Canonical rows mark</w:t>
      </w:r>
      <w:r>
        <w:t xml:space="preserve"> </w:t>
      </w:r>
      <w:r>
        <w:rPr>
          <w:rStyle w:val="VerbatimChar"/>
        </w:rPr>
        <w:t xml:space="preserve">scope_match=true</w:t>
      </w:r>
      <w:r>
        <w:t xml:space="preserve"> </w:t>
      </w:r>
      <w:r>
        <w:t xml:space="preserve">only with the documented official-anchor-plus-series-continuity interpretation retained in every</w:t>
      </w:r>
      <w:r>
        <w:t xml:space="preserve"> </w:t>
      </w:r>
      <w:r>
        <w:rPr>
          <w:rStyle w:val="VerbatimChar"/>
        </w:rPr>
        <w:t xml:space="preserve">coverage_definition</w:t>
      </w:r>
      <w:r>
        <w:t xml:space="preserve"> </w:t>
      </w:r>
      <w:r>
        <w:t xml:space="preserve">cell.</w:t>
      </w:r>
    </w:p>
    <w:bookmarkEnd w:id="21"/>
    <w:bookmarkStart w:id="22" w:name="material-limitations"/>
    <w:p>
      <w:pPr>
        <w:pStyle w:val="Heading2"/>
      </w:pPr>
      <w:r>
        <w:t xml:space="preserve">Material limitations</w:t>
      </w:r>
    </w:p>
    <w:p>
      <w:pPr>
        <w:pStyle w:val="Compact"/>
        <w:numPr>
          <w:ilvl w:val="0"/>
          <w:numId w:val="1003"/>
        </w:numPr>
      </w:pPr>
      <w:r>
        <w:t xml:space="preserve">Q×I is a</w:t>
      </w:r>
      <w:r>
        <w:t xml:space="preserve"> </w:t>
      </w:r>
      <w:r>
        <w:rPr>
          <w:b/>
          <w:bCs/>
        </w:rPr>
        <w:t xml:space="preserve">reconstructed/implied fuel-use estimate</w:t>
      </w:r>
      <w:r>
        <w:t xml:space="preserve">, not an independently observed or externally validated official fuel total. No independent aggregate fuel total was retrieved for cross-validation.</w:t>
      </w:r>
    </w:p>
    <w:p>
      <w:pPr>
        <w:pStyle w:val="Compact"/>
        <w:numPr>
          <w:ilvl w:val="0"/>
          <w:numId w:val="1003"/>
        </w:numPr>
      </w:pPr>
      <w:r>
        <w:t xml:space="preserve">I is rounded to three decimals; rounding intervals should be propagated. The fuel conversion is fuel in 10,000 tonnes = turnover in 100 million tonne-km × intensity in kg/tkm × 10.</w:t>
      </w:r>
    </w:p>
    <w:p>
      <w:pPr>
        <w:pStyle w:val="Compact"/>
        <w:numPr>
          <w:ilvl w:val="0"/>
          <w:numId w:val="1003"/>
        </w:numPr>
      </w:pPr>
      <w:r>
        <w:t xml:space="preserve">The 2017 bulletin explicitly reports changed production-data processing and audit rules after the comprehensive statistical system launched. Report this break and show sensitivity beginning in 2017.</w:t>
      </w:r>
    </w:p>
    <w:p>
      <w:pPr>
        <w:pStyle w:val="Compact"/>
        <w:numPr>
          <w:ilvl w:val="0"/>
          <w:numId w:val="1003"/>
        </w:numPr>
      </w:pPr>
      <w:r>
        <w:t xml:space="preserve">2020–2022 are a structural disruption in demand, utilisation, load factors and traffic composition. They are not evidence that engine technology deteriorated.</w:t>
      </w:r>
    </w:p>
    <w:p>
      <w:pPr>
        <w:pStyle w:val="Compact"/>
        <w:numPr>
          <w:ilvl w:val="0"/>
          <w:numId w:val="1003"/>
        </w:numPr>
      </w:pPr>
      <w:r>
        <w:t xml:space="preserve">No observation identifies an indigenous-engine effect, engine manufacturing capability, non-CO2 aviation climate effects, or life-cycle emissions. Any engine R&amp;D link must remain a conditional engineering interpretation.</w:t>
      </w:r>
    </w:p>
    <w:p>
      <w:pPr>
        <w:pStyle w:val="Compact"/>
        <w:numPr>
          <w:ilvl w:val="0"/>
          <w:numId w:val="1003"/>
        </w:numPr>
      </w:pPr>
      <w:r>
        <w:t xml:space="preserve">The official 2024 survey resource table uses 3.15 tCO2/t for aviation kerosene and 3.16 for other kerosene. A CO2 conversion must document its chosen factor and boundary. The main fuel accounting does not require an emissions factor.</w:t>
      </w:r>
    </w:p>
    <w:p>
      <w:pPr>
        <w:pStyle w:val="Compact"/>
        <w:numPr>
          <w:ilvl w:val="0"/>
          <w:numId w:val="1003"/>
        </w:numPr>
      </w:pPr>
      <w:r>
        <w:t xml:space="preserve">Do not smooth missing pre-2015 intensity or back-solve individual years from a five-year mean or a rounded percentage reduction.</w:t>
      </w:r>
    </w:p>
    <w:bookmarkEnd w:id="22"/>
    <w:bookmarkStart w:id="23" w:name="reproduction-files"/>
    <w:p>
      <w:pPr>
        <w:pStyle w:val="Heading2"/>
      </w:pPr>
      <w:r>
        <w:t xml:space="preserve">Reproduction 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collect_official_sources.py</w:t>
      </w:r>
      <w:r>
        <w:t xml:space="preserve">: standard-library official source archival and excerpt extraction;</w:t>
      </w:r>
      <w:r>
        <w:t xml:space="preserve"> </w:t>
      </w:r>
      <w:r>
        <w:rPr>
          <w:rStyle w:val="VerbatimChar"/>
        </w:rPr>
        <w:t xml:space="preserve">pdftotext -layout</w:t>
      </w:r>
      <w:r>
        <w:t xml:space="preserve"> </w:t>
      </w:r>
      <w:r>
        <w:t xml:space="preserve">for PDFs. Default discovery now follows the actual CAAC annual-report archive at</w:t>
      </w:r>
      <w:r>
        <w:t xml:space="preserve"> </w:t>
      </w:r>
      <w:r>
        <w:rPr>
          <w:rStyle w:val="VerbatimChar"/>
        </w:rPr>
        <w:t xml:space="preserve">index_1214.html</w:t>
      </w:r>
      <w:r>
        <w:t xml:space="preserve"> </w:t>
      </w:r>
      <w:r>
        <w:t xml:space="preserve">and historical page</w:t>
      </w:r>
      <w:r>
        <w:t xml:space="preserve"> </w:t>
      </w:r>
      <w:r>
        <w:rPr>
          <w:rStyle w:val="VerbatimChar"/>
        </w:rPr>
        <w:t xml:space="preserve">index_1214_1.html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raw/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extracted_text/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fetch_log.jsonl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excerpts.csv</w:t>
      </w:r>
      <w:r>
        <w:t xml:space="preserve">: original files and candidate text extraction.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early_years/</w:t>
      </w:r>
      <w:r>
        <w:t xml:space="preserve">: independent 2010–2017 retrieval, missingness decisions and supplementary official planning evidence.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official_aviation_2010_2025.csv</w:t>
      </w:r>
      <w:r>
        <w:t xml:space="preserve">: raw observation ledger; missing early I values remain blank.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verified_observation_ledger_2015_2025.json</w:t>
      </w:r>
      <w:r>
        <w:t xml:space="preserve">: source-excerpt audit for every core observation.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nbs_crosscheck.csv</w:t>
      </w:r>
      <w:r>
        <w:t xml:space="preserve">: visually verified NBS yearbook values and rounding differences.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scope_alignment_decision.json</w:t>
      </w:r>
      <w:r>
        <w:t xml:space="preserve">: statistical-population judgment and limitations.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validation_report.json</w:t>
      </w:r>
      <w:r>
        <w:t xml:space="preserve">: successful source-hash and input verification report.</w:t>
      </w:r>
    </w:p>
    <w:bookmarkEnd w:id="23"/>
    <w:bookmarkStart w:id="24" w:name="historical-network-issue-resolved"/>
    <w:p>
      <w:pPr>
        <w:pStyle w:val="Heading2"/>
      </w:pPr>
      <w:r>
        <w:t xml:space="preserve">Historical network issue (resolved)</w:t>
      </w:r>
    </w:p>
    <w:p>
      <w:pPr>
        <w:pStyle w:val="FirstParagraph"/>
      </w:pPr>
      <w:r>
        <w:t xml:space="preserve">Initial requests to CAAC/NBS failed with proxy CONNECT 403; the root agent saved a network-settings draft. After the user said to continue and network settings changed to unrestricted, official requests succeeded. No TLS verification was disabled.</w:t>
      </w:r>
      <w:r>
        <w:t xml:space="preserve"> </w:t>
      </w:r>
      <w:r>
        <w:rPr>
          <w:rStyle w:val="VerbatimChar"/>
        </w:rPr>
        <w:t xml:space="preserve">network_attempts.json</w:t>
      </w:r>
      <w:r>
        <w:t xml:space="preserve"> </w:t>
      </w:r>
      <w:r>
        <w:t xml:space="preserve">records the earlier failure only; it is not the current readiness state. GitHub was used as a discovery fallback during the outage; no GitHub numerical observation entered the official dataset. A 2022 policy/action PDF exceeded the acquisition script’s 25 MiB cap, so its successfully archived official HTML was used; no complete PDF download is claimed for that attachment.</w:t>
      </w:r>
    </w:p>
    <w:bookmarkEnd w:id="24"/>
    <w:bookmarkStart w:id="25" w:name="X438b1f7428b7c0d1440946a17ff9658f8993595"/>
    <w:p>
      <w:pPr>
        <w:pStyle w:val="Heading2"/>
      </w:pPr>
      <w:r>
        <w:t xml:space="preserve">Analytical design suitable for this sample</w:t>
      </w:r>
    </w:p>
    <w:p>
      <w:pPr>
        <w:pStyle w:val="FirstParagraph"/>
      </w:pPr>
      <w:r>
        <w:t xml:space="preserve">With 11 common-sample national annual observations (2015–2025), a high-dimensional neural network, causal forest, or structural causal model cannot be justified simply because it is complex. A transparent accounting decomposition plus uncertainty-aware, constrained scenario model is defensible and reproducible.</w:t>
      </w:r>
    </w:p>
    <w:p>
      <w:pPr>
        <w:pStyle w:val="BodyText"/>
      </w:pPr>
      <w:r>
        <w:t xml:space="preserve">Let Q denote transport turnover in tonne-kilometres; I fuel intensity in kg fuel/tkm; F fuel in kg; e the kg CO2/kg fuel factor; and C direct CO2 in kg. Then F = QI and C = QIe.</w:t>
      </w:r>
    </w:p>
    <w:p>
      <w:pPr>
        <w:pStyle w:val="BodyText"/>
      </w:pPr>
      <w:r>
        <w:t xml:space="preserve">Exact additive LMDI between valid endpoints a and b uses L(Cb,Ca) = (Cb−Ca)/(ln Cb−ln Ca), with the equal-value continuous limit L(C,C)=C. Contributions are ΔC_Q=L ln(Qb/Qa), ΔC_I=L ln(Ib/Ia), and ΔC_e=L ln(eb/ea). With a fixed emission factor, ΔC_e=0. Report the exact closure residual and avoid causal language.</w:t>
      </w:r>
    </w:p>
    <w:p>
      <w:pPr>
        <w:pStyle w:val="BodyText"/>
      </w:pPr>
      <w:r>
        <w:t xml:space="preserve">For a target terminal emissions ratio R=C_T/C_0, activity growth g, annual fuel-intensity reduction r and n years, the identity implies C_T/C_0=[(1+g)(1−r)]^n when e is fixed. The minimum annual intensity reduction is r_min=1−R^(1/n)/(1+g). This is an engineering requirement conditional on assumed demand, not a forecast of engine performance.</w:t>
      </w:r>
    </w:p>
    <w:p>
      <w:pPr>
        <w:pStyle w:val="BodyText"/>
      </w:pPr>
      <w:r>
        <w:t xml:space="preserve">A cohort renewal extension can model fleet entry age, retirement survival, new-aircraft intensity advantage and operational utilisation, using explicit scenario parameters where data are unavailable. Label assumed distributions separately from official observations, solve a constrained replacement/allocation problem, and report Monte Carlo intervals as</w:t>
      </w:r>
      <w:r>
        <w:t xml:space="preserve"> </w:t>
      </w:r>
      <w:r>
        <w:rPr>
          <w:b/>
          <w:bCs/>
        </w:rPr>
        <w:t xml:space="preserve">scenario uncertainty</w:t>
      </w:r>
      <w:r>
        <w:t xml:space="preserve">, not empirical confidence intervals. Test demand growth, survival lifetime, utilisation, improvement saturation and SAF life-cycle factors individually. SAF does not reduce tank-to-wake CO2 to zero and must be analysed with a separate life-cycle boundary.</w:t>
      </w:r>
    </w:p>
    <w:p>
      <w:pPr>
        <w:pStyle w:val="BodyText"/>
      </w:pPr>
      <w:r>
        <w:t xml:space="preserve">Empirical validation should include exact identity closure, source rounding tolerance, same-definition turnover comparisons, sensitivity to 2019 versus latest-year baselines, and parameter stress tests. A paper can claim descriptive trends and conditional transition requirements; it cannot claim an identified causal effect of domestic engine R&amp;D from these aggregates.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2026-10-16T04:58:23Z</dcterms:created>
  <dcterms:modified xsi:type="dcterms:W3CDTF">2026-10-16T04:58:23Z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