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gure-qa-record"/>
    <w:p>
      <w:pPr>
        <w:pStyle w:val="Heading1"/>
      </w:pPr>
      <w:r>
        <w:t xml:space="preserve">Figure QA record</w:t>
      </w:r>
    </w:p>
    <w:p>
      <w:pPr>
        <w:pStyle w:val="FirstParagraph"/>
      </w:pPr>
      <w:r>
        <w:t xml:space="preserve">All figures were drawn and exported with Python/matplotlib. Width: 183 mm.</w:t>
      </w:r>
      <w:r>
        <w:t xml:space="preserve"> </w:t>
      </w:r>
      <w:r>
        <w:t xml:space="preserve">PDF and SVG contain editable text; PNG previews are 300 dpi. Figure-specific</w:t>
      </w:r>
      <w:r>
        <w:t xml:space="preserve"> </w:t>
      </w:r>
      <w:r>
        <w:t xml:space="preserve">JSON sidecars retain glyph audit, collision verdict, source-data SHA-256 and</w:t>
      </w:r>
      <w:r>
        <w:t xml:space="preserve"> </w:t>
      </w:r>
      <w:r>
        <w:t xml:space="preserve">image dimensions. The retained plotting source is reproducible after running</w:t>
      </w:r>
      <w:r>
        <w:t xml:space="preserve"> </w:t>
      </w:r>
      <w:r>
        <w:t xml:space="preserve">the accounting workflow. No graphical content was generated by an image model.</w:t>
      </w:r>
    </w:p>
    <w:bookmarkStart w:id="20" w:name="evidence-and-data-handling"/>
    <w:p>
      <w:pPr>
        <w:pStyle w:val="Heading2"/>
      </w:pPr>
      <w:r>
        <w:t xml:space="preserve">Evidence and data handling</w:t>
      </w:r>
    </w:p>
    <w:p>
      <w:pPr>
        <w:pStyle w:val="FirstParagraph"/>
      </w:pPr>
      <w:r>
        <w:t xml:space="preserve">Figure 1 includes all 11 annual observations, 2015–2025, without dropping or</w:t>
      </w:r>
      <w:r>
        <w:t xml:space="preserve"> </w:t>
      </w:r>
      <w:r>
        <w:t xml:space="preserve">interpolating a year. It shows all three requested series. Only an explicitly</w:t>
      </w:r>
      <w:r>
        <w:t xml:space="preserve"> </w:t>
      </w:r>
      <w:r>
        <w:t xml:space="preserve">labelled index normalization (2015 = 100) is applied. Reconstructed fuel is</w:t>
      </w:r>
      <w:r>
        <w:t xml:space="preserve"> </w:t>
      </w:r>
      <w:r>
        <w:t xml:space="preserve">distinct from the two official inputs. The official 2017 reporting-programme</w:t>
      </w:r>
      <w:r>
        <w:t xml:space="preserve"> </w:t>
      </w:r>
      <w:r>
        <w:t xml:space="preserve">change is marked without claiming a detected physical discontinuity.</w:t>
      </w:r>
    </w:p>
    <w:p>
      <w:pPr>
        <w:pStyle w:val="BodyText"/>
      </w:pPr>
      <w:r>
        <w:t xml:space="preserve">Figure 2 displays all three requested primary phases after the reporting</w:t>
      </w:r>
      <w:r>
        <w:t xml:space="preserve"> </w:t>
      </w:r>
      <w:r>
        <w:t xml:space="preserve">change. Other computed periods are retained by the accounting workflow, not</w:t>
      </w:r>
      <w:r>
        <w:t xml:space="preserve"> </w:t>
      </w:r>
      <w:r>
        <w:t xml:space="preserve">represented as additional independent observations. No missing values were</w:t>
      </w:r>
      <w:r>
        <w:t xml:space="preserve"> </w:t>
      </w:r>
      <w:r>
        <w:t xml:space="preserve">removed. Chain contributions were independently recomputed from annual Q and</w:t>
      </w:r>
      <w:r>
        <w:t xml:space="preserve"> </w:t>
      </w:r>
      <w:r>
        <w:t xml:space="preserve">I in Mt: reconstructed fuel = Q × I / 10, where Q is in 100 million tonne-km</w:t>
      </w:r>
      <w:r>
        <w:t xml:space="preserve"> </w:t>
      </w:r>
      <w:r>
        <w:t xml:space="preserve">and I in kg per tonne-km. This agrees with the accounting output’s conversion</w:t>
      </w:r>
      <w:r>
        <w:t xml:space="preserve"> </w:t>
      </w:r>
      <w:r>
        <w:t xml:space="preserve">from 10,000-tonne units by division by 100. The 2025 reconstructed quantity is</w:t>
      </w:r>
      <w:r>
        <w:t xml:space="preserve"> </w:t>
      </w:r>
      <w:r>
        <w:t xml:space="preserve">42.66158 Mt.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Activity effect (Mt)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Intensity effect (Mt)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change (Mt)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6.0593377721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−0.9359567721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5.123381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−20.8434543315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2.0840853315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−18.759369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29.9311763624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−5.3678523624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24.563324</w:t>
            </w:r>
          </w:p>
        </w:tc>
      </w:tr>
    </w:tbl>
    <w:p>
      <w:pPr>
        <w:pStyle w:val="BodyText"/>
      </w:pPr>
      <w:r>
        <w:t xml:space="preserve">Figure 3 uses exact analytic model functions and explicit illustrative inputs.</w:t>
      </w:r>
      <w:r>
        <w:t xml:space="preserve"> </w:t>
      </w:r>
      <w:r>
        <w:t xml:space="preserve">There are 161 activity-growth grid points for each of three baseline-improvement</w:t>
      </w:r>
      <w:r>
        <w:t xml:space="preserve"> </w:t>
      </w:r>
      <w:r>
        <w:t xml:space="preserve">curves and 101 deployment-delay points. A grid point is a deterministic design</w:t>
      </w:r>
      <w:r>
        <w:t xml:space="preserve"> </w:t>
      </w:r>
      <w:r>
        <w:t xml:space="preserve">point, not an observed replicate. No claim of calibration, sampling uncertainty,</w:t>
      </w:r>
      <w:r>
        <w:t xml:space="preserve"> </w:t>
      </w:r>
      <w:r>
        <w:t xml:space="preserve">frequency probability or official forecasting is made. Ordinary annual growth</w:t>
      </w:r>
      <w:r>
        <w:t xml:space="preserve"> </w:t>
      </w:r>
      <w:r>
        <w:t xml:space="preserve">and improvement are converted as g = log(1 + a) and b = −log(1 − e). The deployment</w:t>
      </w:r>
      <w:r>
        <w:t xml:space="preserve"> </w:t>
      </w:r>
      <w:r>
        <w:t xml:space="preserve">rate is a conversion parameter for remaining fuel-use-weighted adoption</w:t>
      </w:r>
      <w:r>
        <w:t xml:space="preserve"> </w:t>
      </w:r>
      <w:r>
        <w:t xml:space="preserve">potential, not an annual aircraft-count replacement rate.</w:t>
      </w:r>
    </w:p>
    <w:bookmarkEnd w:id="20"/>
    <w:bookmarkStart w:id="21" w:name="statistical-and-panel-audit"/>
    <w:p>
      <w:pPr>
        <w:pStyle w:val="Heading2"/>
      </w:pPr>
      <w:r>
        <w:t xml:space="preserve">Statistical and panel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Figure/panel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evidence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and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divergence of activity and intensity and their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annual official inputs and deterministic reconstructed indices; no inferred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series differentiated by colour, markers and line style; pandemic shade and reporting change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Visually inspected; one-panel alignment not applicable; collisions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activity and intensity accounting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chain sum from rounded annual inputs; no statistical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composed of consecutive annual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bars and distinct net diamond; zero baseline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Visually inspected; one-panel alignment not applicable; collisions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Full-adoption technical feasibility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conditional curve; grey band is assumed range, not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scenario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baseline rates identified; normalizations and rates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Visually inspected; alignment PASS; collisions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Delay-dependent deployment-rate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conditional threshold with fixed case; no statistical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scenario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 ceiling differentiated by line style and 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Visually inspected; alignment PASS; collisions PASS</w:t>
            </w:r>
          </w:p>
        </w:tc>
      </w:tr>
    </w:tbl>
    <w:p>
      <w:pPr>
        <w:pStyle w:val="BodyText"/>
      </w:pPr>
      <w:r>
        <w:t xml:space="preserve">There are no independent experimental replicates, hypothesis tests,</w:t>
      </w:r>
      <w:r>
        <w:t xml:space="preserve"> </w:t>
      </w:r>
      <w:r>
        <w:t xml:space="preserve">multiple-comparison corrections, p-values, train/test splits or fitted</w:t>
      </w:r>
      <w:r>
        <w:t xml:space="preserve"> </w:t>
      </w:r>
      <w:r>
        <w:t xml:space="preserve">uncertainty bands in these figures. The absence of such elements reflects the</w:t>
      </w:r>
      <w:r>
        <w:t xml:space="preserve"> </w:t>
      </w:r>
      <w:r>
        <w:t xml:space="preserve">deterministic accounting and conditional-analytic design. Their uncertainty</w:t>
      </w:r>
      <w:r>
        <w:t xml:space="preserve"> </w:t>
      </w:r>
      <w:r>
        <w:t xml:space="preserve">must be discussed as data-definition, rounding and model-assumption limits.</w:t>
      </w:r>
    </w:p>
    <w:bookmarkEnd w:id="21"/>
    <w:bookmarkStart w:id="22" w:name="automated-and-visual-checks"/>
    <w:p>
      <w:pPr>
        <w:pStyle w:val="Heading2"/>
      </w:pPr>
      <w:r>
        <w:t xml:space="preserve">Automated and visual checks</w:t>
      </w:r>
    </w:p>
    <w:p>
      <w:pPr>
        <w:pStyle w:val="FirstParagraph"/>
      </w:pPr>
      <w:r>
        <w:t xml:space="preserve">Source validator: 18 PASS, 3 WARN, 0 FAIL. Reviewed warnings are resolved as</w:t>
      </w:r>
      <w:r>
        <w:t xml:space="preserve"> </w:t>
      </w:r>
      <w:r>
        <w:t xml:space="preserve">follows: the requested raster deliverable is PNG at 300 dpi, while PDF/SVG are</w:t>
      </w:r>
      <w:r>
        <w:t xml:space="preserve"> </w:t>
      </w:r>
      <w:r>
        <w:t xml:space="preserve">the vector masters, so TIFF and a 600 dpi raster are unnecessary for this</w:t>
      </w:r>
      <w:r>
        <w:t xml:space="preserve"> </w:t>
      </w:r>
      <w:r>
        <w:t xml:space="preserve">delivery; the static source parser cannot identify the dynamic width constant,</w:t>
      </w:r>
      <w:r>
        <w:t xml:space="preserve"> </w:t>
      </w:r>
      <w:r>
        <w:t xml:space="preserve">but exported PDF width is 518.74015748 pt (183 mm).</w:t>
      </w:r>
    </w:p>
    <w:p>
      <w:pPr>
        <w:pStyle w:val="BodyText"/>
      </w:pPr>
      <w:r>
        <w:t xml:space="preserve">All three final PDFs pass the glyph-size check with a minimum of 7 pt against</w:t>
      </w:r>
      <w:r>
        <w:t xml:space="preserve"> </w:t>
      </w:r>
      <w:r>
        <w:t xml:space="preserve">a 5 pt requirement, and every final collision audit reports 0 FAIL and 0 WARN.</w:t>
      </w:r>
      <w:r>
        <w:t xml:space="preserve"> </w:t>
      </w:r>
      <w:r>
        <w:t xml:space="preserve">Early footer collisions were corrected through layout spacing, followed by</w:t>
      </w:r>
      <w:r>
        <w:t xml:space="preserve"> </w:t>
      </w:r>
      <w:r>
        <w:t xml:space="preserve">fresh exports and repeat audits. Figure 3’s final render-time alignment JSON</w:t>
      </w:r>
      <w:r>
        <w:t xml:space="preserve"> </w:t>
      </w:r>
      <w:r>
        <w:t xml:space="preserve">passes the 1.5 pt tolerance with zero failures, warnings or exemptions. Both</w:t>
      </w:r>
      <w:r>
        <w:t xml:space="preserve"> </w:t>
      </w:r>
      <w:r>
        <w:t xml:space="preserve">panels have identical plot-area heights, widths and top/bottom edges, with</w:t>
      </w:r>
      <w:r>
        <w:t xml:space="preserve"> </w:t>
      </w:r>
      <w:r>
        <w:t xml:space="preserve">aligned panel-label anchors.</w:t>
      </w:r>
    </w:p>
    <w:p>
      <w:pPr>
        <w:pStyle w:val="BodyText"/>
      </w:pPr>
      <w:r>
        <w:t xml:space="preserve">Each final PNG was inspected through the image viewer, including each Figure 3</w:t>
      </w:r>
      <w:r>
        <w:t xml:space="preserve"> </w:t>
      </w:r>
      <w:r>
        <w:t xml:space="preserve">panel and the assembled figure. Text is legible, source notes are separated from</w:t>
      </w:r>
      <w:r>
        <w:t xml:space="preserve"> </w:t>
      </w:r>
      <w:r>
        <w:t xml:space="preserve">axis labels, no data are clipped, and line styles/markers permit interpretation</w:t>
      </w:r>
      <w:r>
        <w:t xml:space="preserve"> </w:t>
      </w:r>
      <w:r>
        <w:t xml:space="preserve">without colour alone. The shaded bands are distinct from the series and are</w:t>
      </w:r>
      <w:r>
        <w:t xml:space="preserve"> </w:t>
      </w:r>
      <w:r>
        <w:t xml:space="preserve">described in captions. Collision overlays and alignment SVG are diagnostic QA</w:t>
      </w:r>
      <w:r>
        <w:t xml:space="preserve"> </w:t>
      </w:r>
      <w:r>
        <w:t xml:space="preserve">files, not submission figures.</w:t>
      </w:r>
    </w:p>
    <w:bookmarkEnd w:id="22"/>
    <w:bookmarkStart w:id="23" w:name="reproduction"/>
    <w:p>
      <w:pPr>
        <w:pStyle w:val="Heading2"/>
      </w:pPr>
      <w:r>
        <w:t xml:space="preserve">Reproduction</w:t>
      </w:r>
    </w:p>
    <w:p>
      <w:pPr>
        <w:pStyle w:val="FirstParagraph"/>
      </w:pPr>
      <w:r>
        <w:t xml:space="preserve">After generating the frozen annual and period accounting CSVs,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figure_work/build_figures.py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figure_work/audit_figures.py</w:t>
      </w:r>
    </w:p>
    <w:p>
      <w:pPr>
        <w:pStyle w:val="FirstParagraph"/>
      </w:pPr>
      <w:r>
        <w:t xml:space="preserve">The plotting script records the render-time alignment result before Figure 3</w:t>
      </w:r>
      <w:r>
        <w:t xml:space="preserve"> </w:t>
      </w:r>
      <w:r>
        <w:t xml:space="preserve">export. The audit script preserves current source, PDF text and collision</w:t>
      </w:r>
      <w:r>
        <w:t xml:space="preserve"> </w:t>
      </w:r>
      <w:r>
        <w:t xml:space="preserve">reports. Every later visual change requires another export and QA run.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2026-10-16T04:58:22Z</dcterms:created>
  <dcterms:modified xsi:type="dcterms:W3CDTF">2026-10-16T04:58:22Z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