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当前研究状态英文研究稿与复现材料已完成"/>
    <w:p>
      <w:pPr>
        <w:pStyle w:val="Heading1"/>
      </w:pPr>
      <w:r>
        <w:t xml:space="preserve">当前研究状态：英文研究稿与复现材料已完成</w:t>
      </w:r>
    </w:p>
    <w:p>
      <w:pPr>
        <w:pStyle w:val="FirstParagraph"/>
      </w:pPr>
      <w:r>
        <w:t xml:space="preserve">此前官方站点被网络白名单拦截的限制已经解除，不能再将旧的403记录作为当前阻碍。</w:t>
      </w:r>
    </w:p>
    <w:p>
      <w:pPr>
        <w:pStyle w:val="BodyText"/>
      </w:pPr>
      <w:r>
        <w:t xml:space="preserve">已完成：2015—2025年11组官方数据采集与核验、2017—2025年主分析、链式LMDI与舍入检验、部署可行前沿、Sobol条件情景、小样本贝叶斯诊断、三张图、英文全文和补充材料。数据的官方口径与残余限制已写入正文。</w:t>
      </w:r>
    </w:p>
    <w:p>
      <w:pPr>
        <w:pStyle w:val="BodyText"/>
      </w:pPr>
      <w:r>
        <w:t xml:space="preserve">主要结果：2017—2025年周转量增长51.5%，强度下降11.3%，重构燃油需求增长34.4%；强度贡献抵消活动贡献的27.9%。未来情景是假设条件下的可行性计算，不是官方预测或因果估计。</w:t>
      </w:r>
    </w:p>
    <w:p>
      <w:pPr>
        <w:pStyle w:val="BodyText"/>
      </w:pPr>
      <w:r>
        <w:t xml:space="preserve">当前成稿：MANUSCRIPT_EN.docx；补充材料：SUPPLEMENTARY_INFORMATION.docx；详细中文说明：AUTHOR_NOTES_ZH.md。完整数据和代码随REPLICATION_PACKAGE.zip交付。</w:t>
      </w:r>
    </w:p>
    <w:p>
      <w:pPr>
        <w:pStyle w:val="BodyText"/>
      </w:pPr>
      <w:r>
        <w:t xml:space="preserve">实际作者仍须完成作者信息、贡献、经费、利益冲突、原论文关系及最终独立审阅，并确认人工智能披露。尚未公开发布代码、登记DOI或投稿；不保证期刊录用。</w:t>
      </w:r>
    </w:p>
    <w:p>
      <w:pPr>
        <w:pStyle w:val="BodyText"/>
      </w:pPr>
      <w:r>
        <w:t xml:space="preserve">审查文件记录的是早一快照的问题；最终修订及对应处理见FINAL_VERIFICATION.md。原始附件保持不变。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2026-10-16T04:58:23Z</dcterms:created>
  <dcterms:modified xsi:type="dcterms:W3CDTF">2026-10-16T04:58:23Z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