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论文图表汇集"/>
    <w:p>
      <w:pPr>
        <w:pStyle w:val="Heading1"/>
      </w:pPr>
      <w:r>
        <w:t xml:space="preserve">论文图表汇集</w:t>
      </w:r>
    </w:p>
    <w:p>
      <w:pPr>
        <w:pStyle w:val="FirstParagraph"/>
      </w:pPr>
      <w:r>
        <w:t xml:space="preserve">图1和图2基于官方观测及其核算结果；图3是明确假设下的条件压力测试。具体图注和解释见每幅图下方。</w:t>
      </w:r>
    </w:p>
    <w:bookmarkStart w:id="23" w:name="figure-1"/>
    <w:p>
      <w:pPr>
        <w:pStyle w:val="Heading2"/>
      </w:pPr>
      <w:r>
        <w:t xml:space="preserve">Figure 1</w:t>
      </w:r>
    </w:p>
    <w:p>
      <w:pPr>
        <w:pStyle w:val="CaptionedFigure"/>
      </w:pPr>
      <w:r>
        <w:drawing>
          <wp:inline>
            <wp:extent cx="5334000" cy="2665765"/>
            <wp:effectExtent b="0" l="0" r="0" t="0"/>
            <wp:docPr descr="Figure 1" title="" id="21" name="Picture"/>
            <a:graphic>
              <a:graphicData uri="http://schemas.openxmlformats.org/drawingml/2006/picture">
                <pic:pic>
                  <pic:nvPicPr>
                    <pic:cNvPr descr="figure1_historical_indic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5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bookmarkEnd w:id="23"/>
    <w:bookmarkStart w:id="27" w:name="figure-2"/>
    <w:p>
      <w:pPr>
        <w:pStyle w:val="Heading2"/>
      </w:pPr>
      <w:r>
        <w:t xml:space="preserve">Figure 2</w:t>
      </w:r>
    </w:p>
    <w:p>
      <w:pPr>
        <w:pStyle w:val="CaptionedFigure"/>
      </w:pPr>
      <w:r>
        <w:drawing>
          <wp:inline>
            <wp:extent cx="5334000" cy="2406594"/>
            <wp:effectExtent b="0" l="0" r="0" t="0"/>
            <wp:docPr descr="Figure 2" title="" id="25" name="Picture"/>
            <a:graphic>
              <a:graphicData uri="http://schemas.openxmlformats.org/drawingml/2006/picture">
                <pic:pic>
                  <pic:nvPicPr>
                    <pic:cNvPr descr="figure2_chain_lmdi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6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bookmarkEnd w:id="27"/>
    <w:bookmarkStart w:id="31" w:name="figure-3"/>
    <w:p>
      <w:pPr>
        <w:pStyle w:val="Heading2"/>
      </w:pPr>
      <w:r>
        <w:t xml:space="preserve">Figure 3</w:t>
      </w:r>
    </w:p>
    <w:p>
      <w:pPr>
        <w:pStyle w:val="CaptionedFigure"/>
      </w:pPr>
      <w:r>
        <w:drawing>
          <wp:inline>
            <wp:extent cx="5334000" cy="2961962"/>
            <wp:effectExtent b="0" l="0" r="0" t="0"/>
            <wp:docPr descr="Figure 3" title="" id="29" name="Picture"/>
            <a:graphic>
              <a:graphicData uri="http://schemas.openxmlformats.org/drawingml/2006/picture">
                <pic:pic>
                  <pic:nvPicPr>
                    <pic:cNvPr descr="figure3_deployment_threshold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1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bookmarkEnd w:id="31"/>
    <w:bookmarkEnd w:id="32"/>
    <w:bookmarkStart w:id="33" w:name="figure-captions"/>
    <w:p>
      <w:pPr>
        <w:pStyle w:val="Heading1"/>
      </w:pPr>
      <w:r>
        <w:t xml:space="preserve">Figure captions</w:t>
      </w:r>
    </w:p>
    <w:p>
      <w:pPr>
        <w:pStyle w:val="FirstParagraph"/>
      </w:pPr>
      <w:r>
        <w:rPr>
          <w:b/>
          <w:bCs/>
        </w:rPr>
        <w:t xml:space="preserve">Figure 1. Official transport activity and fuel intensity, with reconstructed</w:t>
      </w:r>
      <w:r>
        <w:rPr>
          <w:b/>
          <w:bCs/>
        </w:rPr>
        <w:t xml:space="preserve"> </w:t>
      </w:r>
      <w:r>
        <w:rPr>
          <w:b/>
          <w:bCs/>
        </w:rPr>
        <w:t xml:space="preserve">fuel use, 2015–2025.</w:t>
      </w:r>
      <w:r>
        <w:t xml:space="preserve"> </w:t>
      </w:r>
      <w:r>
        <w:t xml:space="preserve">All three series are indexed to 2015 = 100. Transport</w:t>
      </w:r>
      <w:r>
        <w:t xml:space="preserve"> </w:t>
      </w:r>
      <w:r>
        <w:t xml:space="preserve">activity (Q) and fuel intensity (I) are published annual Civil Aviation</w:t>
      </w:r>
      <w:r>
        <w:t xml:space="preserve"> </w:t>
      </w:r>
      <w:r>
        <w:t xml:space="preserve">Administration of China (CAAC) statistics; the fuel-use index is reconstructed</w:t>
      </w:r>
      <w:r>
        <w:t xml:space="preserve"> </w:t>
      </w:r>
      <w:r>
        <w:t xml:space="preserve">from their product and is not an independent fuel observation. The grey area</w:t>
      </w:r>
      <w:r>
        <w:t xml:space="preserve"> </w:t>
      </w:r>
      <w:r>
        <w:t xml:space="preserve">marks 2020–2022. The vertical dashed line marks CAAC’s documented 2017 change in</w:t>
      </w:r>
      <w:r>
        <w:t xml:space="preserve"> </w:t>
      </w:r>
      <w:r>
        <w:t xml:space="preserve">the statistical processing and review of fuel data; it does not designate an</w:t>
      </w:r>
      <w:r>
        <w:t xml:space="preserve"> </w:t>
      </w:r>
      <w:r>
        <w:t xml:space="preserve">estimated physical discontinuity. Accordingly, the main decomposition window</w:t>
      </w:r>
      <w:r>
        <w:t xml:space="preserve"> </w:t>
      </w:r>
      <w:r>
        <w:t xml:space="preserve">starts in 2017, while earlier observations remain visible for context. Lines</w:t>
      </w:r>
      <w:r>
        <w:t xml:space="preserve"> </w:t>
      </w:r>
      <w:r>
        <w:t xml:space="preserve">connect annual observations rather than interpolated measurements. Source</w:t>
      </w:r>
      <w:r>
        <w:t xml:space="preserve"> </w:t>
      </w:r>
      <w:r>
        <w:t xml:space="preserve">data: figure1_source_data.csv; the canonical dataset retains original official</w:t>
      </w:r>
      <w:r>
        <w:t xml:space="preserve"> </w:t>
      </w:r>
      <w:r>
        <w:t xml:space="preserve">source URLs, document hashes and observation locators.</w:t>
      </w:r>
    </w:p>
    <w:p>
      <w:pPr>
        <w:pStyle w:val="BodyText"/>
      </w:pPr>
      <w:r>
        <w:rPr>
          <w:b/>
          <w:bCs/>
        </w:rPr>
        <w:t xml:space="preserve">Figure 2. Chain-linked decomposition of reconstructed fuel changes across</w:t>
      </w:r>
      <w:r>
        <w:rPr>
          <w:b/>
          <w:bCs/>
        </w:rPr>
        <w:t xml:space="preserve"> </w:t>
      </w:r>
      <w:r>
        <w:rPr>
          <w:b/>
          <w:bCs/>
        </w:rPr>
        <w:t xml:space="preserve">three phases.</w:t>
      </w:r>
      <w:r>
        <w:t xml:space="preserve"> </w:t>
      </w:r>
      <w:r>
        <w:t xml:space="preserve">Bars show annual additive logarithmic mean Divisia index</w:t>
      </w:r>
      <w:r>
        <w:t xml:space="preserve"> </w:t>
      </w:r>
      <w:r>
        <w:t xml:space="preserve">(LMDI) contributions summed within 2017–2019, 2019–2022 and 2022–2025. Blue</w:t>
      </w:r>
      <w:r>
        <w:t xml:space="preserve"> </w:t>
      </w:r>
      <w:r>
        <w:t xml:space="preserve">bars denote transport-activity effects and green bars denote fuel-intensity</w:t>
      </w:r>
      <w:r>
        <w:t xml:space="preserve"> </w:t>
      </w:r>
      <w:r>
        <w:t xml:space="preserve">effects. Diamonds mark net changes, equal to the sum of the two contributions</w:t>
      </w:r>
      <w:r>
        <w:t xml:space="preserve"> </w:t>
      </w:r>
      <w:r>
        <w:t xml:space="preserve">within numerical precision. Values are million tonnes (Mt), converted from</w:t>
      </w:r>
      <w:r>
        <w:t xml:space="preserve"> </w:t>
      </w:r>
      <w:r>
        <w:t xml:space="preserve">10,000-tonne accounting units by division by 100. The primary window begins</w:t>
      </w:r>
      <w:r>
        <w:t xml:space="preserve"> </w:t>
      </w:r>
      <w:r>
        <w:t xml:space="preserve">after the documented 2017 reporting-programme change. These deterministic</w:t>
      </w:r>
      <w:r>
        <w:t xml:space="preserve"> </w:t>
      </w:r>
      <w:r>
        <w:t xml:space="preserve">accounting contributions describe reconstructed fuel quantities from rounded</w:t>
      </w:r>
      <w:r>
        <w:t xml:space="preserve"> </w:t>
      </w:r>
      <w:r>
        <w:t xml:space="preserve">official statistics; they do not identify causal technology effects. Source</w:t>
      </w:r>
      <w:r>
        <w:t xml:space="preserve"> </w:t>
      </w:r>
      <w:r>
        <w:t xml:space="preserve">data: figure2_source_data.csv.</w:t>
      </w:r>
    </w:p>
    <w:p>
      <w:pPr>
        <w:pStyle w:val="BodyText"/>
      </w:pPr>
      <w:r>
        <w:rPr>
          <w:b/>
          <w:bCs/>
        </w:rPr>
        <w:t xml:space="preserve">Figure 3. Conditional technical-benefit and deployment frontiers over a</w:t>
      </w:r>
      <w:r>
        <w:rPr>
          <w:b/>
          <w:bCs/>
        </w:rPr>
        <w:t xml:space="preserve"> </w:t>
      </w:r>
      <w:r>
        <w:rPr>
          <w:b/>
          <w:bCs/>
        </w:rPr>
        <w:t xml:space="preserve">15-year horizon.</w:t>
      </w:r>
      <w:r>
        <w:t xml:space="preserve"> </w:t>
      </w:r>
      <w:r>
        <w:t xml:space="preserve">(a) The minimum technical fuel-intensity benefit required to</w:t>
      </w:r>
      <w:r>
        <w:t xml:space="preserve"> </w:t>
      </w:r>
      <w:r>
        <w:t xml:space="preserve">avoid an increase in terminal fuel use under full fuel-use-weighted adoption,</w:t>
      </w:r>
      <w:r>
        <w:t xml:space="preserve"> </w:t>
      </w:r>
      <w:r>
        <w:t xml:space="preserve">as a function of stipulated annual transport-activity growth. Separate curves</w:t>
      </w:r>
      <w:r>
        <w:t xml:space="preserve"> </w:t>
      </w:r>
      <w:r>
        <w:t xml:space="preserve">assume 0%, 1% and 2% annual baseline intensity improvement. Negative algebraic</w:t>
      </w:r>
      <w:r>
        <w:t xml:space="preserve"> </w:t>
      </w:r>
      <w:r>
        <w:t xml:space="preserve">thresholds are set to zero when baseline improvement alone meets the terminal</w:t>
      </w:r>
      <w:r>
        <w:t xml:space="preserve"> </w:t>
      </w:r>
      <w:r>
        <w:t xml:space="preserve">target. The grey band represents an exploratory assumed technical-benefit</w:t>
      </w:r>
      <w:r>
        <w:t xml:space="preserve"> </w:t>
      </w:r>
      <w:r>
        <w:t xml:space="preserve">range of 10–30%. (b) The required annual deployment rate as deployment delay</w:t>
      </w:r>
      <w:r>
        <w:t xml:space="preserve"> </w:t>
      </w:r>
      <w:r>
        <w:t xml:space="preserve">increases, with ordinary annual activity growth fixed at 2%, baseline intensity</w:t>
      </w:r>
      <w:r>
        <w:t xml:space="preserve"> </w:t>
      </w:r>
      <w:r>
        <w:t xml:space="preserve">improvement at 1% and technical benefit at 20%. The dashed line is an</w:t>
      </w:r>
      <w:r>
        <w:t xml:space="preserve"> </w:t>
      </w:r>
      <w:r>
        <w:t xml:space="preserve">exploratory 12% annual deployment ceiling. Ordinary growth and improvement</w:t>
      </w:r>
      <w:r>
        <w:t xml:space="preserve"> </w:t>
      </w:r>
      <w:r>
        <w:t xml:space="preserve">rates are converted to continuous log rates in the equations. The terminal</w:t>
      </w:r>
      <w:r>
        <w:t xml:space="preserve"> </w:t>
      </w:r>
      <w:r>
        <w:t xml:space="preserve">target is the starting year’s fuel quantity, and H = 15 represents 2025–2040.</w:t>
      </w:r>
      <w:r>
        <w:t xml:space="preserve"> </w:t>
      </w:r>
      <w:r>
        <w:t xml:space="preserve">The deployment parameter is the annual conversion rate of the remaining</w:t>
      </w:r>
      <w:r>
        <w:t xml:space="preserve"> </w:t>
      </w:r>
      <w:r>
        <w:t xml:space="preserve">fuel-use-weighted adoption potential, not the fraction of the aircraft fleet</w:t>
      </w:r>
      <w:r>
        <w:t xml:space="preserve"> </w:t>
      </w:r>
      <w:r>
        <w:t xml:space="preserve">replaced each year.</w:t>
      </w:r>
      <w:r>
        <w:t xml:space="preserve"> </w:t>
      </w:r>
      <w:r>
        <w:t xml:space="preserve">These are exact conditional calculations under stated assumptions, without</w:t>
      </w:r>
      <w:r>
        <w:t xml:space="preserve"> </w:t>
      </w:r>
      <w:r>
        <w:t xml:space="preserve">China-specific calibration; neither the curves nor shaded ranges are official</w:t>
      </w:r>
      <w:r>
        <w:t xml:space="preserve"> </w:t>
      </w:r>
      <w:r>
        <w:t xml:space="preserve">forecasts, empirical confidence intervals or estimated probabilities. Source</w:t>
      </w:r>
      <w:r>
        <w:t xml:space="preserve"> </w:t>
      </w:r>
      <w:r>
        <w:t xml:space="preserve">data: figure3a_source_data.csv and figure3b_source_data.csv.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2026-10-16T04:58:23Z</dcterms:created>
  <dcterms:modified xsi:type="dcterms:W3CDTF">2026-10-16T04:58:23Z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