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历史研究方案：此文件写于正式数据取得前。后续官方数据、实证和英文研究稿已完成；以 output/MANUSCRIPT.md 及实际代码/结果为准。以下“尚未取得数据/尚未实现”等状态属于准备阶段记录。脚本弹性定义后已统一为对数弹性。</w:t>
      </w:r>
    </w:p>
    <w:bookmarkStart w:id="35" w:name="可执行方法设计航空运输增长燃油效率与技术部署约束"/>
    <w:p>
      <w:pPr>
        <w:pStyle w:val="Heading1"/>
      </w:pPr>
      <w:r>
        <w:t xml:space="preserve">可执行方法设计：航空运输增长、燃油效率与技术部署约束</w:t>
      </w:r>
    </w:p>
    <w:p>
      <w:pPr>
        <w:pStyle w:val="FirstParagraph"/>
      </w:pPr>
      <w:r>
        <w:rPr>
          <w:b/>
          <w:bCs/>
        </w:rPr>
        <w:t xml:space="preserve">状态（2026-10-16）</w:t>
      </w:r>
      <w:r>
        <w:t xml:space="preserve">：本文件是研究设计，不包含实证结果。当前尚无完成官方来源核验的真实数据，任何估计值、样本期间、显著性或情景输出都必须等数据取得后再写。下面的数值（如模型先验和仿真样本量）是预先声明的分析设置，并非观测事实。</w:t>
      </w:r>
    </w:p>
    <w:bookmarkStart w:id="20" w:name="建议收窄的研究问题与贡献"/>
    <w:p>
      <w:pPr>
        <w:pStyle w:val="Heading2"/>
      </w:pPr>
      <w:r>
        <w:t xml:space="preserve">1. 建议收窄的研究问题与贡献</w:t>
      </w:r>
    </w:p>
    <w:p>
      <w:pPr>
        <w:pStyle w:val="FirstParagraph"/>
      </w:pPr>
      <w:r>
        <w:t xml:space="preserve">建议英文题目：</w:t>
      </w:r>
      <w:r>
        <w:rPr>
          <w:b/>
          <w:bCs/>
        </w:rPr>
        <w:t xml:space="preserve">When Efficiency Cannot Outrun Growth: Fuel-Use Decomposition and Deployment-Constrained Sustainability Pathways for Chinese Civil Aviation</w:t>
      </w:r>
      <w:r>
        <w:t xml:space="preserve">。</w:t>
      </w:r>
    </w:p>
    <w:p>
      <w:pPr>
        <w:pStyle w:val="BodyText"/>
      </w:pPr>
      <w:r>
        <w:t xml:space="preserve">可以回答的问题：</w:t>
      </w:r>
      <w:r>
        <w:t xml:space="preserve"> </w:t>
      </w:r>
      <w:r>
        <w:t xml:space="preserve">1. 在口径一致的官方年度资料中，运输活动扩张和单位周转量油耗变化分别贡献了多少燃油用量变化？这种关系在疫情前、疫情期和恢复期有何差异？</w:t>
      </w:r>
      <w:r>
        <w:t xml:space="preserve"> </w:t>
      </w:r>
      <w:r>
        <w:t xml:space="preserve">2. 仅根据历史燃油强度形成的简约预测，在逐年留后检验中是否优于强度不变和无收缩漂移基线？</w:t>
      </w:r>
      <w:r>
        <w:t xml:space="preserve"> </w:t>
      </w:r>
      <w:r>
        <w:t xml:space="preserve">3. 在明确声明的活动增长、基础强度趋势、技术实际收益、投用延迟和部署速度范围内，哪些组合能够满足燃油总量约束？其必要条件与最不利条件是什么？</w:t>
      </w:r>
    </w:p>
    <w:p>
      <w:pPr>
        <w:pStyle w:val="BodyText"/>
      </w:pPr>
      <w:r>
        <w:t xml:space="preserve">原稿的“设计—试验—制造协同”用于解释研发收益转化为服役效率时存在的准备期、认证/验证和规模部署约束。不能把航空运输总量或宏观燃油强度称为航空发动机研制能力的直接测量，也不能用本文核算识别国产发动机、研制协同或特定政策的实际效果。若没有可复核的企业/机队微观数据，应撤去原稿能力综合指数、问卷结构方程和三系统耦合估计中的经验结论。</w:t>
      </w:r>
    </w:p>
    <w:p>
      <w:pPr>
        <w:pStyle w:val="BodyText"/>
      </w:pPr>
      <w:r>
        <w:t xml:space="preserve">可辩护的潜在贡献是：将</w:t>
      </w:r>
      <w:r>
        <w:rPr>
          <w:b/>
          <w:bCs/>
        </w:rPr>
        <w:t xml:space="preserve">可审计的官方活动—效率核算、经外推检验的简约动态基准、具有解析可行边界的部署约束情景</w:t>
      </w:r>
      <w:r>
        <w:t xml:space="preserve">结合起来；把“技术效率改善”与“行业总量下降”之间的缺口转化为清晰的速度和时滞条件。该组合是否具有文献新意必须待最新文献检索后判断，不宜声称使用了从未有人提出的模型。</w:t>
      </w:r>
    </w:p>
    <w:bookmarkEnd w:id="20"/>
    <w:bookmarkStart w:id="21" w:name="最低数据要求与严格口径检查"/>
    <w:p>
      <w:pPr>
        <w:pStyle w:val="Heading2"/>
      </w:pPr>
      <w:r>
        <w:t xml:space="preserve">2. 最低数据要求与严格口径检查</w:t>
      </w:r>
    </w:p>
    <w:p>
      <w:pPr>
        <w:pStyle w:val="FirstParagraph"/>
      </w:pPr>
      <w:r>
        <w:t xml:space="preserve">优先来源：中国民用航空局（CAAC）年度《民航行业发展统计公报》及环境/绿色发展相关官方统计；统计年鉴可用于核对周转量、单位和修订，不应把不同覆盖范围数据直接拼接。国家统计局数据可用于交叉核对行业活动，不能用全社会航空煤油消费替代同范围运输航空油耗。</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字段</w:t>
            </w:r>
          </w:p>
        </w:tc>
        <w:tc>
          <w:tcPr/>
          <w:p>
            <w:pPr>
              <w:pStyle w:val="Compact"/>
              <w:jc w:val="left"/>
            </w:pPr>
            <w:r>
              <w:t xml:space="preserve">最低要求</w:t>
            </w:r>
          </w:p>
        </w:tc>
        <w:tc>
          <w:tcPr/>
          <w:p>
            <w:pPr>
              <w:pStyle w:val="Compact"/>
              <w:jc w:val="left"/>
            </w:pPr>
            <w:r>
              <w:t xml:space="preserve">核验要点</w:t>
            </w:r>
          </w:p>
        </w:tc>
      </w:tr>
      <w:tr>
        <w:tc>
          <w:tcPr/>
          <w:p>
            <w:pPr>
              <w:pStyle w:val="Compact"/>
              <w:jc w:val="left"/>
            </w:pPr>
            <w:r>
              <w:rPr>
                <w:rStyle w:val="VerbatimChar"/>
              </w:rPr>
              <w:t xml:space="preserve">year</w:t>
            </w:r>
          </w:p>
        </w:tc>
        <w:tc>
          <w:tcPr/>
          <w:p>
            <w:pPr>
              <w:pStyle w:val="Compact"/>
              <w:jc w:val="left"/>
            </w:pPr>
            <w:r>
              <w:t xml:space="preserve">连续年份，理想至少 15 年；实际范围待核验</w:t>
            </w:r>
          </w:p>
        </w:tc>
        <w:tc>
          <w:tcPr/>
          <w:p>
            <w:pPr>
              <w:pStyle w:val="Compact"/>
              <w:jc w:val="left"/>
            </w:pPr>
            <w:r>
              <w:t xml:space="preserve">不预先虚构起止年；最新公报年份以已发布且可核验为准</w:t>
            </w:r>
          </w:p>
        </w:tc>
      </w:tr>
      <w:tr>
        <w:tc>
          <w:tcPr/>
          <w:p>
            <w:pPr>
              <w:pStyle w:val="Compact"/>
              <w:jc w:val="left"/>
            </w:pPr>
            <w:r>
              <w:rPr>
                <w:rStyle w:val="VerbatimChar"/>
              </w:rPr>
              <w:t xml:space="preserve">transport_turnover</w:t>
            </w:r>
          </w:p>
        </w:tc>
        <w:tc>
          <w:tcPr/>
          <w:p>
            <w:pPr>
              <w:pStyle w:val="Compact"/>
              <w:jc w:val="left"/>
            </w:pPr>
            <w:r>
              <w:t xml:space="preserve">年度运输总周转量，优先原表单位“亿吨公里”</w:t>
            </w:r>
          </w:p>
        </w:tc>
        <w:tc>
          <w:tcPr/>
          <w:p>
            <w:pPr>
              <w:pStyle w:val="Compact"/>
              <w:jc w:val="left"/>
            </w:pPr>
            <w:r>
              <w:t xml:space="preserve">国内/国际、地区航线、境内航空公司/境内机场覆盖必须与油耗强度一致；不能混用机场吞吐量</w:t>
            </w:r>
          </w:p>
        </w:tc>
      </w:tr>
      <w:tr>
        <w:tc>
          <w:tcPr/>
          <w:p>
            <w:pPr>
              <w:pStyle w:val="Compact"/>
              <w:jc w:val="left"/>
            </w:pPr>
            <w:r>
              <w:rPr>
                <w:rStyle w:val="VerbatimChar"/>
              </w:rPr>
              <w:t xml:space="preserve">fuel_intensity</w:t>
            </w:r>
          </w:p>
        </w:tc>
        <w:tc>
          <w:tcPr/>
          <w:p>
            <w:pPr>
              <w:pStyle w:val="Compact"/>
              <w:jc w:val="left"/>
            </w:pPr>
            <w:r>
              <w:t xml:space="preserve">运输航空吨公里油耗，保留原始单位和小数位</w:t>
            </w:r>
          </w:p>
        </w:tc>
        <w:tc>
          <w:tcPr/>
          <w:p>
            <w:pPr>
              <w:pStyle w:val="Compact"/>
              <w:jc w:val="left"/>
            </w:pPr>
            <w:r>
              <w:t xml:space="preserve">是否为 kg/(tonne·km)、是否为换算周转量、是否对货邮/客运采用同一换算标准；若定义不一致则暂停乘积推算</w:t>
            </w:r>
          </w:p>
        </w:tc>
      </w:tr>
      <w:tr>
        <w:tc>
          <w:tcPr/>
          <w:p>
            <w:pPr>
              <w:pStyle w:val="Compact"/>
              <w:jc w:val="left"/>
            </w:pPr>
            <w:r>
              <w:rPr>
                <w:rStyle w:val="VerbatimChar"/>
              </w:rPr>
              <w:t xml:space="preserve">reported_fuel</w:t>
            </w:r>
          </w:p>
        </w:tc>
        <w:tc>
          <w:tcPr/>
          <w:p>
            <w:pPr>
              <w:pStyle w:val="Compact"/>
              <w:jc w:val="left"/>
            </w:pPr>
            <w:r>
              <w:t xml:space="preserve">如官方提供，同范围年度燃油总量</w:t>
            </w:r>
          </w:p>
        </w:tc>
        <w:tc>
          <w:tcPr/>
          <w:p>
            <w:pPr>
              <w:pStyle w:val="Compact"/>
              <w:jc w:val="left"/>
            </w:pPr>
            <w:r>
              <w:t xml:space="preserve">优先使用直接值，并以乘积值核验；如无直接值，清楚标成“由官方活动量和四舍五入强度推算”</w:t>
            </w:r>
          </w:p>
        </w:tc>
      </w:tr>
      <w:tr>
        <w:tc>
          <w:tcPr/>
          <w:p>
            <w:pPr>
              <w:pStyle w:val="Compact"/>
              <w:jc w:val="left"/>
            </w:pPr>
            <w:r>
              <w:rPr>
                <w:rStyle w:val="VerbatimChar"/>
              </w:rPr>
              <w:t xml:space="preserve">scope_note</w:t>
            </w:r>
          </w:p>
        </w:tc>
        <w:tc>
          <w:tcPr/>
          <w:p>
            <w:pPr>
              <w:pStyle w:val="Compact"/>
              <w:jc w:val="left"/>
            </w:pPr>
            <w:r>
              <w:t xml:space="preserve">原文统计范围及定义</w:t>
            </w:r>
          </w:p>
        </w:tc>
        <w:tc>
          <w:tcPr/>
          <w:p>
            <w:pPr>
              <w:pStyle w:val="Compact"/>
              <w:jc w:val="left"/>
            </w:pPr>
            <w:r>
              <w:t xml:space="preserve">对口径变更逐年标记，不能直接插值跨越</w:t>
            </w:r>
          </w:p>
        </w:tc>
      </w:tr>
      <w:tr>
        <w:tc>
          <w:tcPr/>
          <w:p>
            <w:pPr>
              <w:pStyle w:val="Compact"/>
              <w:jc w:val="left"/>
            </w:pPr>
            <w:r>
              <w:rPr>
                <w:rStyle w:val="VerbatimChar"/>
              </w:rPr>
              <w:t xml:space="preserve">source_url</w:t>
            </w:r>
            <w:r>
              <w:t xml:space="preserve">,</w:t>
            </w:r>
            <w:r>
              <w:t xml:space="preserve"> </w:t>
            </w:r>
            <w:r>
              <w:rPr>
                <w:rStyle w:val="VerbatimChar"/>
              </w:rPr>
              <w:t xml:space="preserve">document_title</w:t>
            </w:r>
            <w:r>
              <w:t xml:space="preserve">,</w:t>
            </w:r>
            <w:r>
              <w:t xml:space="preserve"> </w:t>
            </w:r>
            <w:r>
              <w:rPr>
                <w:rStyle w:val="VerbatimChar"/>
              </w:rPr>
              <w:t xml:space="preserve">publication_date</w:t>
            </w:r>
            <w:r>
              <w:t xml:space="preserve">,</w:t>
            </w:r>
            <w:r>
              <w:t xml:space="preserve"> </w:t>
            </w:r>
            <w:r>
              <w:rPr>
                <w:rStyle w:val="VerbatimChar"/>
              </w:rPr>
              <w:t xml:space="preserve">page_or_table</w:t>
            </w:r>
            <w:r>
              <w:t xml:space="preserve">,</w:t>
            </w:r>
            <w:r>
              <w:t xml:space="preserve"> </w:t>
            </w:r>
            <w:r>
              <w:rPr>
                <w:rStyle w:val="VerbatimChar"/>
              </w:rPr>
              <w:t xml:space="preserve">retrieval_date</w:t>
            </w:r>
            <w:r>
              <w:t xml:space="preserve">,</w:t>
            </w:r>
            <w:r>
              <w:t xml:space="preserve"> </w:t>
            </w:r>
            <w:r>
              <w:rPr>
                <w:rStyle w:val="VerbatimChar"/>
              </w:rPr>
              <w:t xml:space="preserve">local_file</w:t>
            </w:r>
            <w:r>
              <w:t xml:space="preserve">,</w:t>
            </w:r>
            <w:r>
              <w:t xml:space="preserve"> </w:t>
            </w:r>
            <w:r>
              <w:rPr>
                <w:rStyle w:val="VerbatimChar"/>
              </w:rPr>
              <w:t xml:space="preserve">sha256</w:t>
            </w:r>
          </w:p>
        </w:tc>
        <w:tc>
          <w:tcPr/>
          <w:p>
            <w:pPr>
              <w:pStyle w:val="Compact"/>
              <w:jc w:val="left"/>
            </w:pPr>
            <w:r>
              <w:t xml:space="preserve">每项观测可追溯</w:t>
            </w:r>
          </w:p>
        </w:tc>
        <w:tc>
          <w:tcPr/>
          <w:p>
            <w:pPr>
              <w:pStyle w:val="Compact"/>
              <w:jc w:val="left"/>
            </w:pPr>
            <w:r>
              <w:t xml:space="preserve">原始 PDF/HTML 和提取表均保存；数据值对应到具体页/表</w:t>
            </w:r>
          </w:p>
        </w:tc>
      </w:tr>
      <w:tr>
        <w:tc>
          <w:tcPr/>
          <w:p>
            <w:pPr>
              <w:pStyle w:val="Compact"/>
              <w:jc w:val="left"/>
            </w:pPr>
            <w:r>
              <w:rPr>
                <w:rStyle w:val="VerbatimChar"/>
              </w:rPr>
              <w:t xml:space="preserve">revision_status</w:t>
            </w:r>
            <w:r>
              <w:t xml:space="preserve">,</w:t>
            </w:r>
            <w:r>
              <w:t xml:space="preserve"> </w:t>
            </w:r>
            <w:r>
              <w:rPr>
                <w:rStyle w:val="VerbatimChar"/>
              </w:rPr>
              <w:t xml:space="preserve">original_unit</w:t>
            </w:r>
            <w:r>
              <w:t xml:space="preserve">,</w:t>
            </w:r>
            <w:r>
              <w:t xml:space="preserve"> </w:t>
            </w:r>
            <w:r>
              <w:rPr>
                <w:rStyle w:val="VerbatimChar"/>
              </w:rPr>
              <w:t xml:space="preserve">rounding_resolution</w:t>
            </w:r>
          </w:p>
        </w:tc>
        <w:tc>
          <w:tcPr/>
          <w:p>
            <w:pPr>
              <w:pStyle w:val="Compact"/>
              <w:jc w:val="left"/>
            </w:pPr>
            <w:r>
              <w:t xml:space="preserve">每字段记录</w:t>
            </w:r>
          </w:p>
        </w:tc>
        <w:tc>
          <w:tcPr/>
          <w:p>
            <w:pPr>
              <w:pStyle w:val="Compact"/>
              <w:jc w:val="left"/>
            </w:pPr>
            <w:r>
              <w:t xml:space="preserve">同一资料后续修订采用一致规则；保存原始值与标准化值</w:t>
            </w:r>
          </w:p>
        </w:tc>
      </w:tr>
    </w:tbl>
    <w:p>
      <w:pPr>
        <w:pStyle w:val="BodyText"/>
      </w:pPr>
      <w:r>
        <w:t xml:space="preserve">如还要把燃油换算成直接燃烧 CO2：需取得并核验适用航空煤油的官方燃烧排放因子及单位，说明只是直接燃烧 CO2，不是生命周期温室气体、净零指标或航空非 CO2 气候效应。未核验时，燃油用量足以作为主结果；排放因子不能凭记忆填入。</w:t>
      </w:r>
    </w:p>
    <w:p>
      <w:pPr>
        <w:pStyle w:val="BodyText"/>
      </w:pPr>
      <w:r>
        <w:rPr>
          <w:b/>
          <w:bCs/>
        </w:rPr>
        <w:t xml:space="preserve">单位恒等式</w:t>
      </w:r>
      <w:r>
        <w:t xml:space="preserve">：若 Q 的原单位为亿吨公里，I 为 kg/(tonne·km)，则推算燃油吨数</w:t>
      </w:r>
      <w:r>
        <w:t xml:space="preserve"> </w:t>
      </w:r>
      <w:r>
        <w:rPr>
          <w:rStyle w:val="VerbatimChar"/>
        </w:rPr>
        <w:t xml:space="preserve">F_t = Q_t * I_t * 10^5</w:t>
      </w:r>
      <w:r>
        <w:t xml:space="preserve">，以“万吨”为单位则为</w:t>
      </w:r>
      <w:r>
        <w:t xml:space="preserve"> </w:t>
      </w:r>
      <w:r>
        <w:rPr>
          <w:rStyle w:val="VerbatimChar"/>
        </w:rPr>
        <w:t xml:space="preserve">F_t(万吨) = 10 * Q_t * I_t</w:t>
      </w:r>
      <w:r>
        <w:t xml:space="preserve">。实施时首先转换为标准单位，再计算。不要把“亿”理解成百万。</w:t>
      </w:r>
    </w:p>
    <w:p>
      <w:pPr>
        <w:pStyle w:val="BodyText"/>
      </w:pPr>
      <w:r>
        <w:rPr>
          <w:b/>
          <w:bCs/>
        </w:rPr>
        <w:t xml:space="preserve">不兼容即停止对应分析</w:t>
      </w:r>
      <w:r>
        <w:t xml:space="preserve">：如果两个指标未通过范围一致性检查，仍可分别描述，但不能推出燃油、分解燃油或制造碳排放结果。如果只能获得少数年份，仅做端点核算和透明情景，取消时间序列预测。</w:t>
      </w:r>
    </w:p>
    <w:bookmarkEnd w:id="21"/>
    <w:bookmarkStart w:id="22" w:name="模块-a精确-lmdi-核算与增长效率脱钩"/>
    <w:p>
      <w:pPr>
        <w:pStyle w:val="Heading2"/>
      </w:pPr>
      <w:r>
        <w:t xml:space="preserve">3. 模块 A：精确 LMDI 核算与增长—效率脱钩</w:t>
      </w:r>
    </w:p>
    <w:p>
      <w:pPr>
        <w:pStyle w:val="FirstParagraph"/>
      </w:pPr>
      <w:r>
        <w:t xml:space="preserve">设标准化周转量为 Q_t，燃油强度为 I_t，燃油为 F_t = Q_t I_t。所有变量必须严格为正。</w:t>
      </w:r>
    </w:p>
    <w:p>
      <w:pPr>
        <w:pStyle w:val="BodyText"/>
      </w:pPr>
      <w:r>
        <w:t xml:space="preserve">对任意两个年份 a、b，定义对数平均：</w:t>
      </w:r>
    </w:p>
    <w:p>
      <w:pPr>
        <w:pStyle w:val="SourceCode"/>
      </w:pPr>
      <w:r>
        <w:rPr>
          <w:rStyle w:val="VerbatimChar"/>
        </w:rPr>
        <w:t xml:space="preserve">L(x,y) = (x-y)/(ln x-ln y),   x != y;</w:t>
      </w:r>
      <w:r>
        <w:br/>
      </w:r>
      <w:r>
        <w:rPr>
          <w:rStyle w:val="VerbatimChar"/>
        </w:rPr>
        <w:t xml:space="preserve">L(x,x) = x.</w:t>
      </w:r>
    </w:p>
    <w:p>
      <w:pPr>
        <w:pStyle w:val="FirstParagraph"/>
      </w:pPr>
      <w:r>
        <w:t xml:space="preserve">活动与强度贡献分别为：</w:t>
      </w:r>
    </w:p>
    <w:p>
      <w:pPr>
        <w:pStyle w:val="SourceCode"/>
      </w:pPr>
      <w:r>
        <w:rPr>
          <w:rStyle w:val="VerbatimChar"/>
        </w:rPr>
        <w:t xml:space="preserve">D_Q(a,b) = L(F_b,F_a) ln(Q_b/Q_a)</w:t>
      </w:r>
      <w:r>
        <w:br/>
      </w:r>
      <w:r>
        <w:rPr>
          <w:rStyle w:val="VerbatimChar"/>
        </w:rPr>
        <w:t xml:space="preserve">D_I(a,b) = L(F_b,F_a) ln(I_b/I_a)</w:t>
      </w:r>
      <w:r>
        <w:br/>
      </w:r>
      <w:r>
        <w:rPr>
          <w:rStyle w:val="VerbatimChar"/>
        </w:rPr>
        <w:t xml:space="preserve">F_b - F_a = D_Q(a,b) + D_I(a,b).</w:t>
      </w:r>
    </w:p>
    <w:p>
      <w:pPr>
        <w:pStyle w:val="FirstParagraph"/>
      </w:pPr>
      <w:r>
        <w:t xml:space="preserve">这是</w:t>
      </w:r>
      <w:r>
        <w:rPr>
          <w:b/>
          <w:bCs/>
        </w:rPr>
        <w:t xml:space="preserve">核算恒等式</w:t>
      </w:r>
      <w:r>
        <w:t xml:space="preserve">，不需要回归，不产生因果识别。恒定排放因子 K 下，直接燃烧 CO2 的两项贡献直接乘 K；如果燃料构成导致 K 变化，就要有可核验 K_t 并增加独立因子，不能暗中设为常数。</w:t>
      </w:r>
    </w:p>
    <w:p>
      <w:pPr>
        <w:pStyle w:val="BodyText"/>
      </w:pPr>
      <w:r>
        <w:rPr>
          <w:b/>
          <w:bCs/>
        </w:rPr>
        <w:t xml:space="preserve">报告方案</w:t>
      </w:r>
      <w:r>
        <w:t xml:space="preserve">：以逐年链式分解为主，全年贡献相加仍与起终点燃油差完全一致；预先定义的阶段报告链式贡献之和。端点直接分解只用于敏感性对照，两种分解可能分配不同的阶段贡献，不能混淆。以绝对燃油吨数为主，避免净变化接近零时“贡献率”爆炸。</w:t>
      </w:r>
    </w:p>
    <w:p>
      <w:pPr>
        <w:pStyle w:val="BodyText"/>
      </w:pPr>
      <w:r>
        <w:rPr>
          <w:b/>
          <w:bCs/>
        </w:rPr>
        <w:t xml:space="preserve">脱钩度量</w:t>
      </w:r>
      <w:r>
        <w:t xml:space="preserve">：使用年度增长率</w:t>
      </w:r>
      <w:r>
        <w:t xml:space="preserve"> </w:t>
      </w:r>
      <w:r>
        <w:rPr>
          <w:rStyle w:val="VerbatimChar"/>
        </w:rPr>
        <w:t xml:space="preserve">g_Q = Q_t/Q_(t-1)-1</w:t>
      </w:r>
      <w:r>
        <w:t xml:space="preserve">、</w:t>
      </w:r>
      <w:r>
        <w:rPr>
          <w:rStyle w:val="VerbatimChar"/>
        </w:rPr>
        <w:t xml:space="preserve">g_F = F_t/F_(t-1)-1</w:t>
      </w:r>
      <w:r>
        <w:t xml:space="preserve">；当活动增长时，</w:t>
      </w:r>
      <w:r>
        <w:rPr>
          <w:rStyle w:val="VerbatimChar"/>
        </w:rPr>
        <w:t xml:space="preserve">g_F&lt;0</w:t>
      </w:r>
      <w:r>
        <w:t xml:space="preserve"> </w:t>
      </w:r>
      <w:r>
        <w:t xml:space="preserve">表示绝对脱钩，</w:t>
      </w:r>
      <w:r>
        <w:rPr>
          <w:rStyle w:val="VerbatimChar"/>
        </w:rPr>
        <w:t xml:space="preserve">0&lt;=g_F&lt;g_Q</w:t>
      </w:r>
      <w:r>
        <w:t xml:space="preserve"> </w:t>
      </w:r>
      <w:r>
        <w:t xml:space="preserve">表示相对脱钩，</w:t>
      </w:r>
      <w:r>
        <w:rPr>
          <w:rStyle w:val="VerbatimChar"/>
        </w:rPr>
        <w:t xml:space="preserve">g_F&gt;=g_Q</w:t>
      </w:r>
      <w:r>
        <w:t xml:space="preserve"> </w:t>
      </w:r>
      <w:r>
        <w:t xml:space="preserve">表示燃油增长不慢于活动增长。活动下降年份另设“收缩”类，不把疫情下降称作技术驱动的可持续转型。若报告弹性，明确采用</w:t>
      </w:r>
      <w:r>
        <w:t xml:space="preserve"> </w:t>
      </w:r>
      <w:r>
        <w:rPr>
          <w:rStyle w:val="VerbatimChar"/>
        </w:rPr>
        <w:t xml:space="preserve">epsilon = Δln F / Δln Q</w:t>
      </w:r>
      <w:r>
        <w:t xml:space="preserve">，而非同时混用百分比弹性；当 |Δln Q| 极小时不报告弹性，直接报告增长率。</w:t>
      </w:r>
    </w:p>
    <w:p>
      <w:pPr>
        <w:pStyle w:val="BodyText"/>
      </w:pPr>
      <w:r>
        <w:rPr>
          <w:rStyle w:val="VerbatimChar"/>
        </w:rPr>
        <w:t xml:space="preserve">D_Q/(-D_I)</w:t>
      </w:r>
      <w:r>
        <w:t xml:space="preserve"> </w:t>
      </w:r>
      <w:r>
        <w:t xml:space="preserve">仅在</w:t>
      </w:r>
      <w:r>
        <w:t xml:space="preserve"> </w:t>
      </w:r>
      <w:r>
        <w:rPr>
          <w:rStyle w:val="VerbatimChar"/>
        </w:rPr>
        <w:t xml:space="preserve">D_Q&gt;0, D_I&lt;0</w:t>
      </w:r>
      <w:r>
        <w:t xml:space="preserve"> </w:t>
      </w:r>
      <w:r>
        <w:t xml:space="preserve">时可作为“增长抵消强度改善的核算比率”。不要称为需求反弹效应或 Jevons 效应，因为没有识别效率改善对出行需求的因果影响。</w:t>
      </w:r>
    </w:p>
    <w:p>
      <w:pPr>
        <w:pStyle w:val="BodyText"/>
      </w:pPr>
      <w:r>
        <w:rPr>
          <w:b/>
          <w:bCs/>
        </w:rPr>
        <w:t xml:space="preserve">四舍五入敏感性</w:t>
      </w:r>
      <w:r>
        <w:t xml:space="preserve">：若强度原文保留 p 位小数，以原值 ± 0.5×10^(-p) 为可取区间，其他原表数据同理；在端点区间内计算 F、D_Q、D_I 的包络或透明独立均匀舍入扰动。后者只是舍入误差敏感性，不是统计置信区间，不反映系统测量误差。除四舍五入精度外，不凭空设定“官方数据±5%误差”。</w:t>
      </w:r>
    </w:p>
    <w:bookmarkEnd w:id="22"/>
    <w:bookmarkStart w:id="26" w:name="模块-b小样本动态预测与诚实基线"/>
    <w:p>
      <w:pPr>
        <w:pStyle w:val="Heading2"/>
      </w:pPr>
      <w:r>
        <w:t xml:space="preserve">4. 模块 B：小样本动态预测与诚实基线</w:t>
      </w:r>
    </w:p>
    <w:bookmarkStart w:id="23" w:name="预测定位"/>
    <w:p>
      <w:pPr>
        <w:pStyle w:val="Heading3"/>
      </w:pPr>
      <w:r>
        <w:t xml:space="preserve">4.1 预测定位</w:t>
      </w:r>
    </w:p>
    <w:p>
      <w:pPr>
        <w:pStyle w:val="FirstParagraph"/>
      </w:pPr>
      <w:r>
        <w:t xml:space="preserve">预测只为约束基础效率趋势和量化短期外推局限服务，不承担创新性主张。年度序列通常不足以可靠估计深度学习、GNN、多层 DML、复杂 VAR 或带大量解释变量的因果模型。不得以同一样本上的高拟合度证明先进性。</w:t>
      </w:r>
    </w:p>
    <w:p>
      <w:pPr>
        <w:pStyle w:val="BodyText"/>
      </w:pPr>
      <w:r>
        <w:t xml:space="preserve">使用</w:t>
      </w:r>
      <w:r>
        <w:t xml:space="preserve"> </w:t>
      </w:r>
      <w:r>
        <w:rPr>
          <w:rStyle w:val="VerbatimChar"/>
        </w:rPr>
        <w:t xml:space="preserve">z_t = ln I_t</w:t>
      </w:r>
      <w:r>
        <w:t xml:space="preserve">，每次训练仅使用当时已观测数据。主模型为</w:t>
      </w:r>
      <w:r>
        <w:rPr>
          <w:b/>
          <w:bCs/>
        </w:rPr>
        <w:t xml:space="preserve">贝叶斯收缩漂移随机游走</w:t>
      </w:r>
      <w:r>
        <w:t xml:space="preserve">：</w:t>
      </w:r>
    </w:p>
    <w:p>
      <w:pPr>
        <w:pStyle w:val="SourceCode"/>
      </w:pPr>
      <w:r>
        <w:rPr>
          <w:rStyle w:val="VerbatimChar"/>
        </w:rPr>
        <w:t xml:space="preserve">d_t = z_t-z_(t-1) ~ N(mu, sigma^2)</w:t>
      </w:r>
      <w:r>
        <w:br/>
      </w:r>
      <w:r>
        <w:rPr>
          <w:rStyle w:val="VerbatimChar"/>
        </w:rPr>
        <w:t xml:space="preserve">mu | sigma^2 ~ N(mu0, sigma^2/kappa0)</w:t>
      </w:r>
      <w:r>
        <w:br/>
      </w:r>
      <w:r>
        <w:rPr>
          <w:rStyle w:val="VerbatimChar"/>
        </w:rPr>
        <w:t xml:space="preserve">sigma^2 ~ InvGamma(alpha0,beta0).</w:t>
      </w:r>
    </w:p>
    <w:p>
      <w:pPr>
        <w:pStyle w:val="FirstParagraph"/>
      </w:pPr>
      <w:r>
        <w:t xml:space="preserve">这只是少参数的动态概率基准，并非发动机性能或技术学习机制模型。可预先设置</w:t>
      </w:r>
      <w:r>
        <w:t xml:space="preserve"> </w:t>
      </w:r>
      <w:r>
        <w:rPr>
          <w:rStyle w:val="VerbatimChar"/>
        </w:rPr>
        <w:t xml:space="preserve">mu0=0, kappa0=1, alpha0=2, beta0=0.05^2</w:t>
      </w:r>
      <w:r>
        <w:t xml:space="preserve">（先验年度对数变动的尺度是研究者选择；0.05 非数据事实），并把尺度改为 0.02 和 0.10 作为必要敏感性分析。所有先验和候选模型必须在查看样本外得分前固定。</w:t>
      </w:r>
    </w:p>
    <w:p>
      <w:pPr>
        <w:pStyle w:val="BodyText"/>
      </w:pPr>
      <w:r>
        <w:t xml:space="preserve">对 n 个有效年度差分：</w:t>
      </w:r>
    </w:p>
    <w:p>
      <w:pPr>
        <w:pStyle w:val="SourceCode"/>
      </w:pPr>
      <w:r>
        <w:rPr>
          <w:rStyle w:val="VerbatimChar"/>
        </w:rPr>
        <w:t xml:space="preserve">kappan = kappa0+n</w:t>
      </w:r>
      <w:r>
        <w:br/>
      </w:r>
      <w:r>
        <w:rPr>
          <w:rStyle w:val="VerbatimChar"/>
        </w:rPr>
        <w:t xml:space="preserve">mun = (kappa0*mu0+n*dbar)/kappan</w:t>
      </w:r>
      <w:r>
        <w:br/>
      </w:r>
      <w:r>
        <w:rPr>
          <w:rStyle w:val="VerbatimChar"/>
        </w:rPr>
        <w:t xml:space="preserve">alphan = alpha0+n/2</w:t>
      </w:r>
      <w:r>
        <w:br/>
      </w:r>
      <w:r>
        <w:rPr>
          <w:rStyle w:val="VerbatimChar"/>
        </w:rPr>
        <w:t xml:space="preserve">betan = beta0 + 0.5*sum((d-dbar)^2)</w:t>
      </w:r>
      <w:r>
        <w:br/>
      </w:r>
      <w:r>
        <w:rPr>
          <w:rStyle w:val="VerbatimChar"/>
        </w:rPr>
        <w:t xml:space="preserve">        + kappa0*n/(2*kappan)*(dbar-mu0)^2.</w:t>
      </w:r>
    </w:p>
    <w:p>
      <w:pPr>
        <w:pStyle w:val="FirstParagraph"/>
      </w:pPr>
      <w:r>
        <w:t xml:space="preserve">h 步预测的</w:t>
      </w:r>
      <w:r>
        <w:t xml:space="preserve"> </w:t>
      </w:r>
      <w:r>
        <w:rPr>
          <w:rStyle w:val="VerbatimChar"/>
        </w:rPr>
        <w:t xml:space="preserve">z_(T+h)</w:t>
      </w:r>
      <w:r>
        <w:t xml:space="preserve"> </w:t>
      </w:r>
      <w:r>
        <w:t xml:space="preserve">为自由度</w:t>
      </w:r>
      <w:r>
        <w:t xml:space="preserve"> </w:t>
      </w:r>
      <w:r>
        <w:rPr>
          <w:rStyle w:val="VerbatimChar"/>
        </w:rPr>
        <w:t xml:space="preserve">2*alphan</w:t>
      </w:r>
      <w:r>
        <w:t xml:space="preserve"> </w:t>
      </w:r>
      <w:r>
        <w:t xml:space="preserve">的 Student-t，位置</w:t>
      </w:r>
      <w:r>
        <w:t xml:space="preserve"> </w:t>
      </w:r>
      <w:r>
        <w:rPr>
          <w:rStyle w:val="VerbatimChar"/>
        </w:rPr>
        <w:t xml:space="preserve">z_T+h*mun</w:t>
      </w:r>
      <w:r>
        <w:t xml:space="preserve">，尺度平方</w:t>
      </w:r>
      <w:r>
        <w:t xml:space="preserve"> </w:t>
      </w:r>
      <w:r>
        <w:rPr>
          <w:rStyle w:val="VerbatimChar"/>
        </w:rPr>
        <w:t xml:space="preserve">betan/alphan * (h+h^2/kappan)</w:t>
      </w:r>
      <w:r>
        <w:t xml:space="preserve">。按预测抽样在原始强度尺度报告中位数和区间；不能把</w:t>
      </w:r>
      <w:r>
        <w:t xml:space="preserve"> </w:t>
      </w:r>
      <w:r>
        <w:rPr>
          <w:rStyle w:val="VerbatimChar"/>
        </w:rPr>
        <w:t xml:space="preserve">exp(E[z])</w:t>
      </w:r>
      <w:r>
        <w:t xml:space="preserve"> </w:t>
      </w:r>
      <w:r>
        <w:t xml:space="preserve">称作强度均值。若正态年度差分明显不合适，优先承认区间不足与报告敏感性，不在小样本上迭代搜索复杂模型。</w:t>
      </w:r>
    </w:p>
    <w:bookmarkEnd w:id="23"/>
    <w:bookmarkStart w:id="24" w:name="必须比较的基线与检验"/>
    <w:p>
      <w:pPr>
        <w:pStyle w:val="Heading3"/>
      </w:pPr>
      <w:r>
        <w:t xml:space="preserve">4.2 必须比较的基线与检验</w:t>
      </w:r>
    </w:p>
    <w:p>
      <w:pPr>
        <w:pStyle w:val="Compact"/>
        <w:numPr>
          <w:ilvl w:val="0"/>
          <w:numId w:val="1001"/>
        </w:numPr>
      </w:pPr>
      <w:r>
        <w:t xml:space="preserve">B0：强度维持最新观测值（随机游走无漂移）。</w:t>
      </w:r>
    </w:p>
    <w:p>
      <w:pPr>
        <w:pStyle w:val="Compact"/>
        <w:numPr>
          <w:ilvl w:val="0"/>
          <w:numId w:val="1001"/>
        </w:numPr>
      </w:pPr>
      <w:r>
        <w:t xml:space="preserve">B1：随机游走加无收缩历史平均漂移，同样训练年份。</w:t>
      </w:r>
    </w:p>
    <w:p>
      <w:pPr>
        <w:pStyle w:val="Compact"/>
        <w:numPr>
          <w:ilvl w:val="0"/>
          <w:numId w:val="1001"/>
        </w:numPr>
      </w:pPr>
      <w:r>
        <w:t xml:space="preserve">B2：上述收缩漂移主模型。</w:t>
      </w:r>
    </w:p>
    <w:p>
      <w:pPr>
        <w:pStyle w:val="FirstParagraph"/>
      </w:pPr>
      <w:r>
        <w:t xml:space="preserve">滚动起点逐年向前，以至少 8 个有效连续年度差分作为最小训练要求，主检验 h=1；若产生至少 5 个可评价起点再报告 h=3，否则只说明样本不足。不得把同一序列随机打乱做交叉验证；不得用全样本估计漂移后倒回生成“样本外预测”。</w:t>
      </w:r>
    </w:p>
    <w:p>
      <w:pPr>
        <w:pStyle w:val="BodyText"/>
      </w:pPr>
      <w:r>
        <w:t xml:space="preserve">主点预测误差报告 MAE（原始 I 单位）与 MASE（各训练集的一步朴素误差为分母）；概率预测报告 80% 和 95% 区间覆盖率及平均宽度，样本足够才报告区间得分。每个得分均报告测试年份和数量。小样本不做声称有充分功效的模型优越性检验；如主模型没有稳定优于基线，保留无漂移情景，不掩盖失败结果。</w:t>
      </w:r>
    </w:p>
    <w:bookmarkEnd w:id="24"/>
    <w:bookmarkStart w:id="25" w:name="疫情与结构变化"/>
    <w:p>
      <w:pPr>
        <w:pStyle w:val="Heading3"/>
      </w:pPr>
      <w:r>
        <w:t xml:space="preserve">4.3 疫情与结构变化</w:t>
      </w:r>
    </w:p>
    <w:p>
      <w:pPr>
        <w:pStyle w:val="FirstParagraph"/>
      </w:pPr>
      <w:r>
        <w:t xml:space="preserve">以预先声明的日历分组展示疫情前、2020—2022 年冲击期、2023 年以后恢复期。这个分组是描述用的外部事件划分，不是估计出的最优断点。</w:t>
      </w:r>
    </w:p>
    <w:p>
      <w:pPr>
        <w:pStyle w:val="BodyText"/>
      </w:pPr>
      <w:r>
        <w:t xml:space="preserve">主预测评估保留所有可评价年份，并另列冲击期和其余年份得分，以显示外推失败。一个敏感性版本在估计长期漂移时删除任何端点属于 2020—2022 的年度差分；绝不把 2019 和 2023 之间的跨年差额当作一个年度差分。删除后的训练/测试规则必须逐起点执行；疫情期样本外预测仍需如实记录。不能用已知未来恢复值修正过去预测。</w:t>
      </w:r>
    </w:p>
    <w:p>
      <w:pPr>
        <w:pStyle w:val="BodyText"/>
      </w:pPr>
      <w:r>
        <w:t xml:space="preserve">最新水平 I_T 是情景起点，历史漂移只用于形成可解释的基础趋势范围。若漂移结论对疫情处理、先验或样本窗口不稳健，主情景用保守区间，不能称某一技术改善率已得到稳健估计。</w:t>
      </w:r>
    </w:p>
    <w:bookmarkEnd w:id="25"/>
    <w:bookmarkEnd w:id="26"/>
    <w:bookmarkStart w:id="30" w:name="模块-c部署约束仿真与解析可行边界"/>
    <w:p>
      <w:pPr>
        <w:pStyle w:val="Heading2"/>
      </w:pPr>
      <w:r>
        <w:t xml:space="preserve">5. 模块 C：部署约束仿真与解析可行边界</w:t>
      </w:r>
    </w:p>
    <w:bookmarkStart w:id="27" w:name="最小机制模型"/>
    <w:p>
      <w:pPr>
        <w:pStyle w:val="Heading3"/>
      </w:pPr>
      <w:r>
        <w:t xml:space="preserve">5.1 最小机制模型</w:t>
      </w:r>
    </w:p>
    <w:p>
      <w:pPr>
        <w:pStyle w:val="FirstParagraph"/>
      </w:pPr>
      <w:r>
        <w:t xml:space="preserve">设 h 为距最后观测年份的年数，g 为年度活动对数增长率，b 为</w:t>
      </w:r>
      <w:r>
        <w:rPr>
          <w:b/>
          <w:bCs/>
        </w:rPr>
        <w:t xml:space="preserve">不包含新增技术方案</w:t>
      </w:r>
      <w:r>
        <w:t xml:space="preserve">的基础强度下降对数率。θ 为新增技术在实际运行中相对该基础路径的燃油强度优势（包括实现损失后的收益，0&lt;=θ&lt;1）；r 为每年尚未采用部分的</w:t>
      </w:r>
      <w:r>
        <w:rPr>
          <w:b/>
          <w:bCs/>
        </w:rPr>
        <w:t xml:space="preserve">燃油使用权重部署率</w:t>
      </w:r>
      <w:r>
        <w:t xml:space="preserve">，0&lt;=r&lt;=1；tau 为首次额外部署前的等待年数。所有参数来源必须区分“历史估计”</w:t>
      </w:r>
      <w:r>
        <w:t xml:space="preserve">“</w:t>
      </w:r>
      <w:r>
        <w:t xml:space="preserve">经核验文献范围</w:t>
      </w:r>
      <w:r>
        <w:t xml:space="preserve">”</w:t>
      </w:r>
      <w:r>
        <w:t xml:space="preserve">和“分析者压力测试范围”。</w:t>
      </w:r>
    </w:p>
    <w:p>
      <w:pPr>
        <w:pStyle w:val="BodyText"/>
      </w:pPr>
      <w:r>
        <w:t xml:space="preserve">新技术燃油权重采用率：</w:t>
      </w:r>
    </w:p>
    <w:p>
      <w:pPr>
        <w:pStyle w:val="SourceCode"/>
      </w:pPr>
      <w:r>
        <w:rPr>
          <w:rStyle w:val="VerbatimChar"/>
        </w:rPr>
        <w:t xml:space="preserve">s_h = 1-(1-r)^max(h-tau,0),   s_0=0.</w:t>
      </w:r>
    </w:p>
    <w:p>
      <w:pPr>
        <w:pStyle w:val="FirstParagraph"/>
      </w:pPr>
      <w:r>
        <w:t xml:space="preserve">燃油路径：</w:t>
      </w:r>
    </w:p>
    <w:p>
      <w:pPr>
        <w:pStyle w:val="SourceCode"/>
      </w:pPr>
      <w:r>
        <w:rPr>
          <w:rStyle w:val="VerbatimChar"/>
        </w:rPr>
        <w:t xml:space="preserve">Q_h = Q_T exp(g*h)</w:t>
      </w:r>
      <w:r>
        <w:br/>
      </w:r>
      <w:r>
        <w:rPr>
          <w:rStyle w:val="VerbatimChar"/>
        </w:rPr>
        <w:t xml:space="preserve">I_base,h = I_T exp(-b*h)</w:t>
      </w:r>
      <w:r>
        <w:br/>
      </w:r>
      <w:r>
        <w:rPr>
          <w:rStyle w:val="VerbatimChar"/>
        </w:rPr>
        <w:t xml:space="preserve">I_h = I_base,h (1-theta*s_h)</w:t>
      </w:r>
      <w:r>
        <w:br/>
      </w:r>
      <w:r>
        <w:rPr>
          <w:rStyle w:val="VerbatimChar"/>
        </w:rPr>
        <w:t xml:space="preserve">F_h = Q_h I_h</w:t>
      </w:r>
      <w:r>
        <w:br/>
      </w:r>
      <w:r>
        <w:rPr>
          <w:rStyle w:val="VerbatimChar"/>
        </w:rPr>
        <w:t xml:space="preserve">R_h = F_h/F_T = exp((g-b)*h) (1-theta*s_h).</w:t>
      </w:r>
    </w:p>
    <w:p>
      <w:pPr>
        <w:pStyle w:val="FirstParagraph"/>
      </w:pPr>
      <w:r>
        <w:t xml:space="preserve">r 不是直接可观测的飞机架数替换比例，不同机型飞行量/燃油用量不同；没有机队年龄、飞行利用率和配置数据就不能把它写成中国机队实际更新率。θ 不代表国产/某型号发动机本体台架效率。若分别引入工程效率优势与实现系数，它们仅以乘积进入该式，在宏观数据下不可分别识别，因此主模型只用一个实际收益 θ。</w:t>
      </w:r>
    </w:p>
    <w:p>
      <w:pPr>
        <w:pStyle w:val="BodyText"/>
      </w:pPr>
      <w:r>
        <w:t xml:space="preserve">原稿设计—试验—制造体系可以解释 tau 和 r 受到研发准备、认证、生产爬坡及机队吸收的约束。这是机制解释，</w:t>
      </w:r>
      <w:r>
        <w:rPr>
          <w:b/>
          <w:bCs/>
        </w:rPr>
        <w:t xml:space="preserve">不能从 Q、I 反推出三种能力、三系统参数或时滞真实分布</w:t>
      </w:r>
      <w:r>
        <w:t xml:space="preserve">。若没有可靠外部证据，tau 与 r 必须标为假设变量。</w:t>
      </w:r>
    </w:p>
    <w:bookmarkEnd w:id="27"/>
    <w:bookmarkStart w:id="28" w:name="解析可行前沿"/>
    <w:p>
      <w:pPr>
        <w:pStyle w:val="Heading3"/>
      </w:pPr>
      <w:r>
        <w:t xml:space="preserve">5.2 解析可行前沿</w:t>
      </w:r>
    </w:p>
    <w:p>
      <w:pPr>
        <w:pStyle w:val="FirstParagraph"/>
      </w:pPr>
      <w:r>
        <w:t xml:space="preserve">给定终点燃油目标</w:t>
      </w:r>
      <w:r>
        <w:t xml:space="preserve"> </w:t>
      </w:r>
      <w:r>
        <w:rPr>
          <w:rStyle w:val="VerbatimChar"/>
        </w:rPr>
        <w:t xml:space="preserve">F_H/F_T &lt;= kappa</w:t>
      </w:r>
      <w:r>
        <w:t xml:space="preserve">，需要：</w:t>
      </w:r>
    </w:p>
    <w:p>
      <w:pPr>
        <w:pStyle w:val="SourceCode"/>
      </w:pPr>
      <w:r>
        <w:rPr>
          <w:rStyle w:val="VerbatimChar"/>
        </w:rPr>
        <w:t xml:space="preserve">s_req = [1-kappa*exp(-(g-b)*H)]/theta.</w:t>
      </w:r>
    </w:p>
    <w:p>
      <w:pPr>
        <w:numPr>
          <w:ilvl w:val="0"/>
          <w:numId w:val="1002"/>
        </w:numPr>
      </w:pPr>
      <w:r>
        <w:t xml:space="preserve">若分子&lt;=0，基础路径已满足目标；新增方案不是满足该目标的必要条件。</w:t>
      </w:r>
    </w:p>
    <w:p>
      <w:pPr>
        <w:numPr>
          <w:ilvl w:val="0"/>
          <w:numId w:val="1002"/>
        </w:numPr>
      </w:pPr>
      <w:r>
        <w:t xml:space="preserve">若 theta=0 且基础路径未达标，无额外收益可使目标达标。</w:t>
      </w:r>
    </w:p>
    <w:p>
      <w:pPr>
        <w:numPr>
          <w:ilvl w:val="0"/>
          <w:numId w:val="1002"/>
        </w:numPr>
      </w:pPr>
      <w:r>
        <w:t xml:space="preserve">若</w:t>
      </w:r>
      <w:r>
        <w:t xml:space="preserve"> </w:t>
      </w:r>
      <w:r>
        <w:rPr>
          <w:rStyle w:val="VerbatimChar"/>
        </w:rPr>
        <w:t xml:space="preserve">s_req&gt;1</w:t>
      </w:r>
      <w:r>
        <w:t xml:space="preserve">，即使全部部署也不足，技术收益与活动需求设定不相容。</w:t>
      </w:r>
    </w:p>
    <w:p>
      <w:pPr>
        <w:numPr>
          <w:ilvl w:val="0"/>
          <w:numId w:val="1002"/>
        </w:numPr>
      </w:pPr>
      <w:r>
        <w:t xml:space="preserve">若</w:t>
      </w:r>
      <w:r>
        <w:t xml:space="preserve"> </w:t>
      </w:r>
      <w:r>
        <w:rPr>
          <w:rStyle w:val="VerbatimChar"/>
        </w:rPr>
        <w:t xml:space="preserve">0&lt;s_req&lt;=1</w:t>
      </w:r>
      <w:r>
        <w:t xml:space="preserve"> </w:t>
      </w:r>
      <w:r>
        <w:t xml:space="preserve">且 H&gt;tau，所需部署率为</w:t>
      </w:r>
    </w:p>
    <w:p>
      <w:pPr>
        <w:pStyle w:val="SourceCode"/>
        <w:numPr>
          <w:ilvl w:val="0"/>
          <w:numId w:val="1000"/>
        </w:numPr>
      </w:pPr>
      <w:r>
        <w:rPr>
          <w:rStyle w:val="VerbatimChar"/>
        </w:rPr>
        <w:t xml:space="preserve">r_req = 1-(1-s_req)^[1/(H-tau)].</w:t>
      </w:r>
    </w:p>
    <w:p>
      <w:pPr>
        <w:numPr>
          <w:ilvl w:val="0"/>
          <w:numId w:val="1002"/>
        </w:numPr>
      </w:pPr>
      <w:r>
        <w:t xml:space="preserve">若 H&lt;=tau 且基础路径未达标，部署尚未开始，目标不可达。</w:t>
      </w:r>
    </w:p>
    <w:p>
      <w:pPr>
        <w:pStyle w:val="FirstParagraph"/>
      </w:pPr>
      <w:r>
        <w:t xml:space="preserve">即使没有新增技术，也有直观的一年必要条件：若活动普通增长率为</w:t>
      </w:r>
      <w:r>
        <w:t xml:space="preserve"> </w:t>
      </w:r>
      <w:r>
        <w:rPr>
          <w:rStyle w:val="VerbatimChar"/>
        </w:rPr>
        <w:t xml:space="preserve">a</w:t>
      </w:r>
      <w:r>
        <w:t xml:space="preserve">、强度普通下降率为</w:t>
      </w:r>
      <w:r>
        <w:t xml:space="preserve"> </w:t>
      </w:r>
      <w:r>
        <w:rPr>
          <w:rStyle w:val="VerbatimChar"/>
        </w:rPr>
        <w:t xml:space="preserve">e</w:t>
      </w:r>
      <w:r>
        <w:t xml:space="preserve">，燃油不增需</w:t>
      </w:r>
      <w:r>
        <w:t xml:space="preserve"> </w:t>
      </w:r>
      <w:r>
        <w:rPr>
          <w:rStyle w:val="VerbatimChar"/>
        </w:rPr>
        <w:t xml:space="preserve">e &gt;= a/(1+a)</w:t>
      </w:r>
      <w:r>
        <w:t xml:space="preserve">；使用对数率时是</w:t>
      </w:r>
      <w:r>
        <w:t xml:space="preserve"> </w:t>
      </w:r>
      <w:r>
        <w:rPr>
          <w:rStyle w:val="VerbatimChar"/>
        </w:rPr>
        <w:t xml:space="preserve">b&gt;=g</w:t>
      </w:r>
      <w:r>
        <w:t xml:space="preserve">。不要把普通百分比率与连续对数率混用。</w:t>
      </w:r>
    </w:p>
    <w:p>
      <w:pPr>
        <w:pStyle w:val="BodyText"/>
      </w:pPr>
      <w:r>
        <w:t xml:space="preserve">这些前沿比“复杂模型给出一个预测数字”更有价值：让可行性由显式条件决定，并允许读者替换假设。</w:t>
      </w:r>
    </w:p>
    <w:bookmarkEnd w:id="28"/>
    <w:bookmarkStart w:id="29" w:name="不确定性和全局敏感性"/>
    <w:p>
      <w:pPr>
        <w:pStyle w:val="Heading3"/>
      </w:pPr>
      <w:r>
        <w:t xml:space="preserve">5.3 不确定性和全局敏感性</w:t>
      </w:r>
    </w:p>
    <w:p>
      <w:pPr>
        <w:pStyle w:val="FirstParagraph"/>
      </w:pPr>
      <w:r>
        <w:rPr>
          <w:b/>
          <w:bCs/>
        </w:rPr>
        <w:t xml:space="preserve">把统计预测与深度不确定性分开</w:t>
      </w:r>
      <w:r>
        <w:t xml:space="preserve">。B 模块的概率区间来自明确随机过程；C 模块尚无可识别参数分布时采用探索性情景设计，不把区间或达标组合占比称为客观达标概率。</w:t>
      </w:r>
    </w:p>
    <w:p>
      <w:pPr>
        <w:pStyle w:val="Compact"/>
        <w:numPr>
          <w:ilvl w:val="0"/>
          <w:numId w:val="1003"/>
        </w:numPr>
      </w:pPr>
      <w:r>
        <w:t xml:space="preserve">预先建立参数范围表：g、b、θ、r 和 tau 的下限/上限、依据、单位、适用地域、证据质量。文献技术潜力不能未经解释直接充当中国机队已实现收益；没有可核验范围的参数可以用清楚标记的政策压力测试范围，但不能称为经验估计。</w:t>
      </w:r>
    </w:p>
    <w:p>
      <w:pPr>
        <w:pStyle w:val="Compact"/>
        <w:numPr>
          <w:ilvl w:val="0"/>
          <w:numId w:val="1003"/>
        </w:numPr>
      </w:pPr>
      <w:r>
        <w:t xml:space="preserve">对 tau 取少数预设离散情景，对连续的 g、b、θ、r 使用 scrambled Sobol 低差异序列。初始用</w:t>
      </w:r>
      <w:r>
        <w:t xml:space="preserve"> </w:t>
      </w:r>
      <w:r>
        <w:rPr>
          <w:rStyle w:val="VerbatimChar"/>
        </w:rPr>
        <w:t xml:space="preserve">2^12</w:t>
      </w:r>
      <w:r>
        <w:t xml:space="preserve"> </w:t>
      </w:r>
      <w:r>
        <w:t xml:space="preserve">个组合/时滞，种子固定，再以</w:t>
      </w:r>
      <w:r>
        <w:t xml:space="preserve"> </w:t>
      </w:r>
      <w:r>
        <w:rPr>
          <w:rStyle w:val="VerbatimChar"/>
        </w:rPr>
        <w:t xml:space="preserve">2^14</w:t>
      </w:r>
      <w:r>
        <w:t xml:space="preserve"> </w:t>
      </w:r>
      <w:r>
        <w:t xml:space="preserve">核查结果数值稳定性。Sobol 序列是覆盖参数空间的方法，不能让未经证据支持的参数变成“真实分布”。</w:t>
      </w:r>
    </w:p>
    <w:p>
      <w:pPr>
        <w:pStyle w:val="Compact"/>
        <w:numPr>
          <w:ilvl w:val="0"/>
          <w:numId w:val="1003"/>
        </w:numPr>
      </w:pPr>
      <w:r>
        <w:t xml:space="preserve">输出终点</w:t>
      </w:r>
      <w:r>
        <w:t xml:space="preserve"> </w:t>
      </w:r>
      <w:r>
        <w:rPr>
          <w:rStyle w:val="VerbatimChar"/>
        </w:rPr>
        <w:t xml:space="preserve">R_H</w:t>
      </w:r>
      <w:r>
        <w:t xml:space="preserve">、累计燃油</w:t>
      </w:r>
      <w:r>
        <w:t xml:space="preserve"> </w:t>
      </w:r>
      <w:r>
        <w:rPr>
          <w:rStyle w:val="VerbatimChar"/>
        </w:rPr>
        <w:t xml:space="preserve">sum(F_h)</w:t>
      </w:r>
      <w:r>
        <w:t xml:space="preserve">、是否满足目标、以及达到目标的 r/θ/tau 前沿；报告最不利角点和目标能否在整个预设参数集合内满足。蒙特卡洛分位数标成“情景设计空间分位数”。</w:t>
      </w:r>
    </w:p>
    <w:p>
      <w:pPr>
        <w:pStyle w:val="Compact"/>
        <w:numPr>
          <w:ilvl w:val="0"/>
          <w:numId w:val="1003"/>
        </w:numPr>
      </w:pPr>
      <w:r>
        <w:t xml:space="preserve">如报告 Sobol 一阶/总效应指数，必须明确假设参数在预设区间内独立、采用指定设计权重，使用 A/B 与逐列替换矩阵估计，并做多次 scrambling 数值稳定性分析；这些是</w:t>
      </w:r>
      <w:r>
        <w:rPr>
          <w:b/>
          <w:bCs/>
        </w:rPr>
        <w:t xml:space="preserve">对假设空间的输出敏感度</w:t>
      </w:r>
      <w:r>
        <w:t xml:space="preserve">，不是对现实机制的重要性排名。g 与 b 的关联若有可靠依据，应另设联合情景；不能把相关输入直接套进独立 Sobol 解释。</w:t>
      </w:r>
    </w:p>
    <w:p>
      <w:pPr>
        <w:pStyle w:val="Compact"/>
        <w:numPr>
          <w:ilvl w:val="0"/>
          <w:numId w:val="1003"/>
        </w:numPr>
      </w:pPr>
      <w:r>
        <w:t xml:space="preserve">因模型多数方向单调，优先用解析前沿和边界检验检验数值仿真；无需把全局敏感性作为额外“先进算法”堆叠。主文可用前沿图，详细敏感性置补充材料。</w:t>
      </w:r>
    </w:p>
    <w:p>
      <w:pPr>
        <w:pStyle w:val="FirstParagraph"/>
      </w:pPr>
      <w:r>
        <w:t xml:space="preserve">条件情景不能证明新技术引发需求反弹、政策增加研发能力、协同提升效率或某条路线会在某年实现。没有财务成本和约束数据，就不做最优投资分配或福利最优宣称。</w:t>
      </w:r>
    </w:p>
    <w:bookmarkEnd w:id="29"/>
    <w:bookmarkEnd w:id="30"/>
    <w:bookmarkStart w:id="31" w:name="最低有效性检查应写入实际脚本"/>
    <w:p>
      <w:pPr>
        <w:pStyle w:val="Heading2"/>
      </w:pPr>
      <w:r>
        <w:t xml:space="preserve">6. 最低有效性检查（应写入实际脚本）</w:t>
      </w:r>
    </w:p>
    <w:p>
      <w:pPr>
        <w:pStyle w:val="Compact"/>
        <w:numPr>
          <w:ilvl w:val="0"/>
          <w:numId w:val="1004"/>
        </w:numPr>
      </w:pPr>
      <w:r>
        <w:t xml:space="preserve">逐条观测检查来源、年份唯一性、正值、单位及范围一致性；不自动填补缺失。</w:t>
      </w:r>
    </w:p>
    <w:p>
      <w:pPr>
        <w:pStyle w:val="Compact"/>
        <w:numPr>
          <w:ilvl w:val="0"/>
          <w:numId w:val="1004"/>
        </w:numPr>
      </w:pPr>
      <w:r>
        <w:t xml:space="preserve">如可取得同口径直接燃油值，比较乘积值与直接值，解释可由原表精度产生的差异；不强制调数配平。</w:t>
      </w:r>
    </w:p>
    <w:p>
      <w:pPr>
        <w:pStyle w:val="Compact"/>
        <w:numPr>
          <w:ilvl w:val="0"/>
          <w:numId w:val="1004"/>
        </w:numPr>
      </w:pPr>
      <w:r>
        <w:t xml:space="preserve">每段 LMDI 检查</w:t>
      </w:r>
      <w:r>
        <w:t xml:space="preserve"> </w:t>
      </w:r>
      <w:r>
        <w:rPr>
          <w:rStyle w:val="VerbatimChar"/>
        </w:rPr>
        <w:t xml:space="preserve">D_Q+D_I == F_b-F_a</w:t>
      </w:r>
      <w:r>
        <w:t xml:space="preserve">，使用与量纲相称的浮点容差；年链式贡献之和与总变化相等。</w:t>
      </w:r>
    </w:p>
    <w:p>
      <w:pPr>
        <w:pStyle w:val="Compact"/>
        <w:numPr>
          <w:ilvl w:val="0"/>
          <w:numId w:val="1004"/>
        </w:numPr>
      </w:pPr>
      <w:r>
        <w:t xml:space="preserve">舍入包络不跨越零；接近相同燃油值时使用稳定 log-mean 实现（</w:t>
      </w:r>
      <w:r>
        <w:rPr>
          <w:rStyle w:val="VerbatimChar"/>
        </w:rPr>
        <w:t xml:space="preserve">log1p</w:t>
      </w:r>
      <w:r>
        <w:t xml:space="preserve">/</w:t>
      </w:r>
      <w:r>
        <w:rPr>
          <w:rStyle w:val="VerbatimChar"/>
        </w:rPr>
        <w:t xml:space="preserve">expm1</w:t>
      </w:r>
      <w:r>
        <w:t xml:space="preserve">），不得用任意 epsilon 改写观测。</w:t>
      </w:r>
    </w:p>
    <w:p>
      <w:pPr>
        <w:pStyle w:val="Compact"/>
        <w:numPr>
          <w:ilvl w:val="0"/>
          <w:numId w:val="1004"/>
        </w:numPr>
      </w:pPr>
      <w:r>
        <w:t xml:space="preserve">预测检查训练最大年份早于测试年份；只用训练数据估计先验敏感性、MASE 分母和漂移；预测区间经指数变换保持正值。</w:t>
      </w:r>
    </w:p>
    <w:p>
      <w:pPr>
        <w:pStyle w:val="Compact"/>
        <w:numPr>
          <w:ilvl w:val="0"/>
          <w:numId w:val="1004"/>
        </w:numPr>
      </w:pPr>
      <w:r>
        <w:t xml:space="preserve">情景检查 r=0 或 H&lt;=tau 时 s=0；theta=0 时回到基础路径；r=1 时等待期后 s=1；theta 增、r 增不应增加燃油，g 增、tau 增不应降低燃油。</w:t>
      </w:r>
    </w:p>
    <w:p>
      <w:pPr>
        <w:pStyle w:val="Compact"/>
        <w:numPr>
          <w:ilvl w:val="0"/>
          <w:numId w:val="1004"/>
        </w:numPr>
      </w:pPr>
      <w:r>
        <w:t xml:space="preserve">解析 r_req 代回仿真应恰好达到目标（边界容差内）；不可行区域不强行裁切成看似可行的 0—1 比例。</w:t>
      </w:r>
    </w:p>
    <w:p>
      <w:pPr>
        <w:pStyle w:val="Compact"/>
        <w:numPr>
          <w:ilvl w:val="0"/>
          <w:numId w:val="1004"/>
        </w:numPr>
      </w:pPr>
      <w:r>
        <w:t xml:space="preserve">图表的数据来源是实际脚本输出；摘要、结果表、图注和结论与同一 results_summary 绑定。禁止以演示数据填充主文结果。</w:t>
      </w:r>
    </w:p>
    <w:bookmarkEnd w:id="31"/>
    <w:bookmarkStart w:id="32" w:name="建议文章结构与真实完成门槛"/>
    <w:p>
      <w:pPr>
        <w:pStyle w:val="Heading2"/>
      </w:pPr>
      <w:r>
        <w:t xml:space="preserve">7. 建议文章结构与真实完成门槛</w:t>
      </w:r>
    </w:p>
    <w:p>
      <w:pPr>
        <w:pStyle w:val="FirstParagraph"/>
      </w:pPr>
      <w:r>
        <w:t xml:space="preserve">摘要应在真实分析后写；引言明确航空增长与部署时滞的冲突；文献分为航空效率/气候约束、技术扩散/机队更新、分解与稳健决策；数据章节公开官方来源和统计边界；方法保持上述三模块；结果依次核算、外推检验、可行前沿；讨论说明设计—验证—制造协同的现实含义与不能识别的边界。</w:t>
      </w:r>
    </w:p>
    <w:p>
      <w:pPr>
        <w:pStyle w:val="BodyText"/>
      </w:pPr>
      <w:r>
        <w:t xml:space="preserve">完成可投稿经验论文至少需要：已核验的真实观测及来源快照；可运行代码与机器可读结果；经核验的近期关键文献；与结果一致的英文正文；对口径/疫情/部署假设的局限说明。仅有研究设计和假设仿真不能标成已经完成了正式数据实证，更不能保证 Sustainability 录用。</w:t>
      </w:r>
    </w:p>
    <w:bookmarkEnd w:id="32"/>
    <w:bookmarkStart w:id="33" w:name="aers-技能加载记录"/>
    <w:p>
      <w:pPr>
        <w:pStyle w:val="Heading2"/>
      </w:pPr>
      <w:r>
        <w:t xml:space="preserve">8. AERS 技能加载记录</w:t>
      </w:r>
    </w:p>
    <w:p>
      <w:pPr>
        <w:pStyle w:val="FirstParagraph"/>
      </w:pPr>
      <w:r>
        <w:t xml:space="preserve">已成功读取根路由</w:t>
      </w:r>
      <w:r>
        <w:t xml:space="preserve"> </w:t>
      </w:r>
      <w:r>
        <w:rPr>
          <w:rStyle w:val="VerbatimChar"/>
        </w:rPr>
        <w:t xml:space="preserve">c4/auto-empirical-research-skills</w:t>
      </w:r>
      <w:r>
        <w:t xml:space="preserve">。按根说明尝试以下完整资源均返回</w:t>
      </w:r>
      <w:r>
        <w:t xml:space="preserve"> </w:t>
      </w:r>
      <w:r>
        <w:rPr>
          <w:rStyle w:val="VerbatimChar"/>
        </w:rPr>
        <w:t xml:space="preserve">failed to read skill resource</w:t>
      </w:r>
      <w:r>
        <w:t xml:space="preserve">：</w:t>
      </w:r>
    </w:p>
    <w:p>
      <w:pPr>
        <w:pStyle w:val="Compact"/>
        <w:numPr>
          <w:ilvl w:val="0"/>
          <w:numId w:val="1005"/>
        </w:numPr>
      </w:pPr>
      <w:r>
        <w:rPr>
          <w:rStyle w:val="VerbatimChar"/>
        </w:rPr>
        <w:t xml:space="preserve">skill://plugins_6ad19a2ef7d08191901e54e1a6391ef6/auto-empirical-research-skills/skills/69-Paper-WorkFlow/SKILL.md</w:t>
      </w:r>
    </w:p>
    <w:p>
      <w:pPr>
        <w:pStyle w:val="Compact"/>
        <w:numPr>
          <w:ilvl w:val="0"/>
          <w:numId w:val="1005"/>
        </w:numPr>
      </w:pPr>
      <w:r>
        <w:rPr>
          <w:rStyle w:val="VerbatimChar"/>
        </w:rPr>
        <w:t xml:space="preserve">skill://plugins_6ad19a2ef7d08191901e54e1a6391ef6/auto-empirical-research-skills/skills/00.1-Full-empirical-analysis-skill_Python/SKILL.md</w:t>
      </w:r>
    </w:p>
    <w:p>
      <w:pPr>
        <w:pStyle w:val="Compact"/>
        <w:numPr>
          <w:ilvl w:val="0"/>
          <w:numId w:val="1005"/>
        </w:numPr>
      </w:pPr>
      <w:r>
        <w:rPr>
          <w:rStyle w:val="VerbatimChar"/>
        </w:rPr>
        <w:t xml:space="preserve">skill://plugins_6ad19a2ef7d08191901e54e1a6391ef6/auto-empirical-research-skills/catalog/skills.json</w:t>
      </w:r>
    </w:p>
    <w:p>
      <w:pPr>
        <w:pStyle w:val="FirstParagraph"/>
      </w:pPr>
      <w:r>
        <w:t xml:space="preserve">因此未声称执行不可读取的嵌套技能，也未依据未见原文的“门禁”要求阻断可独立完成的研究设计工作。</w:t>
      </w:r>
    </w:p>
    <w:bookmarkEnd w:id="33"/>
    <w:bookmarkStart w:id="34" w:name="已有核算脚本审核与当前交付状态"/>
    <w:p>
      <w:pPr>
        <w:pStyle w:val="Heading2"/>
      </w:pPr>
      <w:r>
        <w:t xml:space="preserve">9. 已有核算脚本审核与当前交付状态</w:t>
      </w:r>
    </w:p>
    <w:p>
      <w:pPr>
        <w:pStyle w:val="FirstParagraph"/>
      </w:pPr>
      <w:r>
        <w:t xml:space="preserve">已阅读</w:t>
      </w:r>
      <w:r>
        <w:t xml:space="preserve"> </w:t>
      </w:r>
      <w:r>
        <w:rPr>
          <w:rStyle w:val="VerbatimChar"/>
        </w:rPr>
        <w:t xml:space="preserve">/workspace/research/analyze_official_data.py</w:t>
      </w:r>
      <w:r>
        <w:t xml:space="preserve">：</w:t>
      </w:r>
      <w:r>
        <w:rPr>
          <w:rStyle w:val="VerbatimChar"/>
        </w:rPr>
        <w:t xml:space="preserve">f0,f1 = 10*q*i</w:t>
      </w:r>
      <w:r>
        <w:t xml:space="preserve"> </w:t>
      </w:r>
      <w:r>
        <w:t xml:space="preserve">的结果单位是万吨，换算正确。脚本将来源核验和范围匹配设为先决输入，正值/有限性/重复年份检查合理；缺年不冒充一个年度变化。</w:t>
      </w:r>
      <w:r>
        <w:rPr>
          <w:rStyle w:val="VerbatimChar"/>
        </w:rPr>
        <w:t xml:space="preserve">--self-check</w:t>
      </w:r>
      <w:r>
        <w:t xml:space="preserve"> </w:t>
      </w:r>
      <w:r>
        <w:t xml:space="preserve">中的数字是明确标识的合成算术例子，不是官方观测。</w:t>
      </w:r>
    </w:p>
    <w:p>
      <w:pPr>
        <w:pStyle w:val="BodyText"/>
      </w:pPr>
      <w:r>
        <w:t xml:space="preserve">需在实际正文与脚本之间统一一个小差异：当前脚本</w:t>
      </w:r>
      <w:r>
        <w:t xml:space="preserve"> </w:t>
      </w:r>
      <w:r>
        <w:rPr>
          <w:rStyle w:val="VerbatimChar"/>
        </w:rPr>
        <w:t xml:space="preserve">fuel_activity_elasticity = gf/gq</w:t>
      </w:r>
      <w:r>
        <w:t xml:space="preserve"> </w:t>
      </w:r>
      <w:r>
        <w:t xml:space="preserve">是普通百分比弹性；本方法设计选择的是</w:t>
      </w:r>
      <w:r>
        <w:t xml:space="preserve"> </w:t>
      </w:r>
      <w:r>
        <w:rPr>
          <w:rStyle w:val="VerbatimChar"/>
        </w:rPr>
        <w:t xml:space="preserve">ln(F1/F0)/ln(Q1/Q0)</w:t>
      </w:r>
      <w:r>
        <w:t xml:space="preserve">。两者不是同一数值。推荐正文统一采用对数弹性、脚本用</w:t>
      </w:r>
      <w:r>
        <w:t xml:space="preserve"> </w:t>
      </w:r>
      <w:r>
        <w:rPr>
          <w:rStyle w:val="VerbatimChar"/>
        </w:rPr>
        <w:t xml:space="preserve">log1p(gf)/log1p(gq)</w:t>
      </w:r>
      <w:r>
        <w:t xml:space="preserve">；也可以保留原脚本，正文明确标为百分比弹性并彻底删除对数口径。</w:t>
      </w:r>
    </w:p>
    <w:p>
      <w:pPr>
        <w:pStyle w:val="BodyText"/>
      </w:pPr>
      <w:r>
        <w:t xml:space="preserve">当前脚本只实现模块 A 和不增油耗的阈值核算。模块 B 的滚动预测、模块 C 的部署仿真、全局敏感性、参数范围核验均尚未实现或运行，不能把方法文件中的拟议步骤写成既成研究结果。官方数据模板当前为空，故不能声称已经完成任何实证估计。</w:t>
      </w:r>
    </w:p>
    <w:p>
      <w:pPr>
        <w:pStyle w:val="BodyText"/>
      </w:pPr>
      <w:r>
        <w:t xml:space="preserve">最低样本决策：不足两个连续且范围一致的年度观测时不做年度分解；未取得至少 8 个可用连续年度差分时不估计漂移模型；不足可评价样本外起点时不比较模型表现。预测基线的 MASE 分母若为零，应标记不可定义，不以任意小常数制造得分。只有活动和强度数据而没有技术参数证据时，可以绘制清楚标注的假设前沿，不能把仿真参数称为中国航空发动机实际研制/部署能力。</w:t>
      </w:r>
    </w:p>
    <w:p>
      <w:pPr>
        <w:pStyle w:val="BodyText"/>
      </w:pPr>
      <w:r>
        <w:t xml:space="preserve">仅靠核算恒等式通常不足以构成高水平创新；研究价值取决于可信数据、参数证据、可检验的部署约束和与现有文献的真实差异。本文不建议以算法名称堆叠替代这些证据。</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