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upplementary-information"/>
    <w:p>
      <w:pPr>
        <w:pStyle w:val="Heading1"/>
      </w:pPr>
      <w:r>
        <w:t xml:space="preserve">Supplementary Information</w:t>
      </w:r>
    </w:p>
    <w:bookmarkStart w:id="20" w:name="X0458133c43374b21971dc927e8d58876eda38b8"/>
    <w:p>
      <w:pPr>
        <w:pStyle w:val="Heading2"/>
      </w:pPr>
      <w:r>
        <w:t xml:space="preserve">S1. Complete paired official record and provenance</w:t>
      </w:r>
    </w:p>
    <w:p>
      <w:pPr>
        <w:pStyle w:val="FirstParagraph"/>
      </w:pPr>
      <w:r>
        <w:t xml:space="preserve">The table preserves all eleven paired observations. No fuel-intensity value was interpolated before 2015. The main comparison begins in 2017 because that bulletin documents a change in production-data processing and audit rules. Reconstructed fuel is not independently observed total consumption.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 (10⁸ tonne-km)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(kg/tonne-km)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Reconstructed fuel (Mt)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851.65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25.038510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962.51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28.201543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1083.08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31.734244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1206.53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34.627411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36.857625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798.51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25.232916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856.75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26.473575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599.28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18.098256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1188.34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34.699528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40.248107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42.661580</w:t>
            </w:r>
          </w:p>
        </w:tc>
      </w:tr>
    </w:tbl>
    <w:p>
      <w:pPr>
        <w:pStyle w:val="BodyText"/>
      </w:pPr>
      <w:r>
        <w:t xml:space="preserve">The canonical</w:t>
      </w:r>
      <w:r>
        <w:t xml:space="preserve"> </w:t>
      </w:r>
      <w:r>
        <w:rPr>
          <w:rStyle w:val="VerbatimChar"/>
        </w:rPr>
        <w:t xml:space="preserve">source/verified_data.csv</w:t>
      </w:r>
      <w:r>
        <w:t xml:space="preserve"> </w:t>
      </w:r>
      <w:r>
        <w:t xml:space="preserve">contains separate source URLs, full SHA-256 digests, physical PDF page locators and the coverage interpretation for every pair. The official-source observation ledger adds exact Chinese quotations and source-file metadata. Transport-aviation interpretation is anchored to the CAAC 2019 transport-intensity statement, the 2022 policy/action series and indicator 126 in the 2024 survey system. This is a documented continuity interpretation rather than enterprise-level matching in every year. NBS cross-publication checks are retained separately; they reuse CAAC-origin statistics and are not independent original measurements. The 2025 observation was obtained from CAAC, not an unverified NBS 2026 yearbook.</w:t>
      </w:r>
    </w:p>
    <w:bookmarkEnd w:id="20"/>
    <w:bookmarkStart w:id="21" w:name="Xc1355f464d115b428590e14860f44be2f8e4d47"/>
    <w:p>
      <w:pPr>
        <w:pStyle w:val="Heading2"/>
      </w:pPr>
      <w:r>
        <w:t xml:space="preserve">S2. Chain-linked and direct endpoint decomposition</w:t>
      </w:r>
    </w:p>
    <w:p>
      <w:pPr>
        <w:pStyle w:val="FirstParagraph"/>
      </w:pPr>
      <w:r>
        <w:t xml:space="preserve">The chain calculation sums adjacent-year LMDI components. Direct endpoint allocation can differ, particularly through contraction and recovery; both sum exactly to the same endpoint fuel change. The following table reports Mt, retaining three decimals. All underlying calculations retain floating-point precision.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2019–2022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-18.759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2022–2025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2017–2025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2019–2025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17.623</w:t>
            </w:r>
          </w:p>
        </w:tc>
      </w:tr>
    </w:tbl>
    <w:p>
      <w:pPr>
        <w:pStyle w:val="BodyText"/>
      </w:pPr>
      <w:r>
        <w:t xml:space="preserve">The extended 2015–2025 comparison crosses the 2017 processing change and is not presented as a harmonised main estimate. Contributions remain accounting allocations; they do not identify technology, policy or rebound effects.</w:t>
      </w:r>
    </w:p>
    <w:bookmarkEnd w:id="21"/>
    <w:bookmarkStart w:id="22" w:name="s3.-reporting-precision-perturbations"/>
    <w:p>
      <w:pPr>
        <w:pStyle w:val="Heading2"/>
      </w:pPr>
      <w:r>
        <w:t xml:space="preserve">S3. Reporting-precision perturbations</w:t>
      </w:r>
    </w:p>
    <w:p>
      <w:pPr>
        <w:pStyle w:val="FirstParagraph"/>
      </w:pPr>
      <w:r>
        <w:t xml:space="preserve">At every combination of low/high starting and ending values, Q was perturbed by ±0.005 (10⁸ tonne-km) and I by ±0.0005 kg/tonne-km. Sixteen corners were evaluated per period. This examines source rounding only, not systematic measurement error, population coverage or a statistical confidence interval.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 growth, central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Fuel-growth corner range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15.742 to 16.548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2019–2022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-51.065 to -50.729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2022–2025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135.722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134.877 to 136.570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2017–2025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33.946 to 34.924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2019–2025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15.321 to 16.174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46.695 to 47.715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2015–2025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69.766 to 71.004</w:t>
            </w:r>
          </w:p>
        </w:tc>
      </w:tr>
    </w:tbl>
    <w:bookmarkEnd w:id="22"/>
    <w:bookmarkStart w:id="23" w:name="X119b8ffdd41310de52acb1433fad0f6b76acf1f"/>
    <w:p>
      <w:pPr>
        <w:pStyle w:val="Heading2"/>
      </w:pPr>
      <w:r>
        <w:t xml:space="preserve">S4. Bayesian diagnostic, baselines and small-sample exclusions</w:t>
      </w:r>
    </w:p>
    <w:p>
      <w:pPr>
        <w:pStyle w:val="FirstParagraph"/>
      </w:pPr>
      <w:r>
        <w:t xml:space="preserve">Let d denote adjacent annual log-intensity changes. The conjugate model uses μ₀=0, κ₀=1, α₀=2 and β₀=0.05². For n changes with average d̄, κₙ=κ₀+n, μₙ=(κ₀μ₀+nd̄)/κₙ, αₙ=α₀+n/2, and βₙ=β₀+Σ(d−d̄)²/2+κ₀n(d̄−μ₀)²/(2κₙ). The h-step log-intensity predictive distribution is Student-t with 2αₙ degrees of freedom, location ln(I_T)+hμₙ and scale sqrt[(βₙ/αₙ)(h+h²/κₙ)]. Exponentiation supplies a median and central intervals; the exponentiated Student-t has no finite positive moments, so an original-scale predictive mean is not reported.</w:t>
      </w:r>
    </w:p>
    <w:p>
      <w:pPr>
        <w:pStyle w:val="BodyText"/>
      </w:pPr>
      <w:r>
        <w:t xml:space="preserve">B0 is unchanged intensity. B1 adds the unshrunk training mean log change. B2 uses the shrunk posterior location. Every model uses the same eligible origin, with a minimum of eight prior valid annual differences; no target observation enters its training. MASE divides absolute prediction error by the mean absolute adjacent-year naive error in that origin’s training set. A zero denominator remains undefined.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(kg/tonne-km)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1.894853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1.750015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1.764619</w:t>
            </w:r>
          </w:p>
        </w:tc>
      </w:tr>
    </w:tbl>
    <w:p>
      <w:pPr>
        <w:pStyle w:val="BodyText"/>
      </w:pPr>
      <w:r>
        <w:t xml:space="preserve">These two tests are diagnostics, not evidence of model superiority. The post-2017 series has no eligible out-of-sample test under the same rule. Excluding every training difference touching 2020–2022 leaves only six valid differences in the extended record, so the pandemic-exclusion forecast is skipped rather than formed by joining separated years. Prior scales 0.02² and 0.10² are retained in the machine-readable outputs. The forecasting diagnostic is not used to choose or calibrate the conditional scenario domain.</w:t>
      </w:r>
    </w:p>
    <w:bookmarkEnd w:id="23"/>
    <w:bookmarkStart w:id="24" w:name="Xf015e0bb633eb4810f380c7be72d61a20b7e11a"/>
    <w:p>
      <w:pPr>
        <w:pStyle w:val="Heading2"/>
      </w:pPr>
      <w:r>
        <w:t xml:space="preserve">S5. Conditional exploration, resolution and analytical bounds</w:t>
      </w:r>
    </w:p>
    <w:p>
      <w:pPr>
        <w:pStyle w:val="FirstParagraph"/>
      </w:pPr>
      <w:r>
        <w:t xml:space="preserve">The exact input configuration is</w:t>
      </w:r>
      <w:r>
        <w:t xml:space="preserve"> </w:t>
      </w:r>
      <w:r>
        <w:rPr>
          <w:rStyle w:val="VerbatimChar"/>
        </w:rPr>
        <w:t xml:space="preserve">scenario_config.json</w:t>
      </w:r>
      <w:r>
        <w:t xml:space="preserve">. g is uniform in the log-rate interval corresponding to ordinary growth of 2–6%; b is uniform in the continuous intensity-decline interval corresponding to ordinary reductions of 0–2%; θ and r have uniform design weights over 0.10–0.30 and 0.02–0.12, respectively. These are exploratory weights, not inferred parameter distributions. Delays are evaluated separately, not pooled into a probability mixture. H=15 and κ=1 define a 2040 non-increasing-fuel benchmark, not an asserted official target.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Delay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2¹² design share meeting target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2¹⁴ share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2¹⁴ terminal-ratio 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1.346867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1.370412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1.423835</w:t>
            </w:r>
          </w:p>
        </w:tc>
      </w:tr>
    </w:tbl>
    <w:p>
      <w:pPr>
        <w:pStyle w:val="BodyText"/>
      </w:pPr>
      <w:r>
        <w:t xml:space="preserve">The shares above describe only the stated design domain. They are not probabilities that China will meet a target. Scrambling seeds are 20261016, 20261017 and 20261018. No points are skipped or thinned. The higher-resolution results are stored with the resolution comparison; the initial individual design points are supplied in CSV. Re-running the documented code regenerates both.</w:t>
      </w:r>
    </w:p>
    <w:p>
      <w:pPr>
        <w:pStyle w:val="BodyText"/>
      </w:pPr>
      <w:r>
        <w:t xml:space="preserve">By monotonicity, the lowest terminal ratio occurs at low g, high b, high θ, high r and the shortest delay; the highest occurs at the opposite corner. Exact bounds are 0.739640 and 2.364954. These are bounds for the assumed box, not empirical prediction limits. A cumulative-fuel diagnostic sums future years 1 through H, excluding the observed baseline year, in units of baseline annual fuel. It is retained in the numerical output but is not used to claim a carbon budget.</w:t>
      </w:r>
    </w:p>
    <w:p>
      <w:pPr>
        <w:pStyle w:val="BodyText"/>
      </w:pPr>
      <w:r>
        <w:t xml:space="preserve">The analytical frontier explicitly distinguishes baseline-sufficient, full-adoption-insufficient and deployment-threshold cases. It does not truncate an impossible adopted share to one or interpret fuel-use-weighted adoption as aircraft-count replacement.</w:t>
      </w:r>
    </w:p>
    <w:bookmarkEnd w:id="24"/>
    <w:bookmarkStart w:id="25" w:name="Xad412261d7bbe871eb450a10e0dc5a874c307c7"/>
    <w:p>
      <w:pPr>
        <w:pStyle w:val="Heading2"/>
      </w:pPr>
      <w:r>
        <w:t xml:space="preserve">S6. Reproduction and integrity boundaries</w:t>
      </w:r>
    </w:p>
    <w:p>
      <w:pPr>
        <w:pStyle w:val="FirstParagraph"/>
      </w:pPr>
      <w:r>
        <w:t xml:space="preserve">The replication README gives the offline reproduction command, exact software versions and input hashes. Eighteen deliberately synthetic arithmetic/mathematical checks cover accounting identities, unit conversion, Bayesian conjugacy and prediction variance, forward-only training, missing/excluded-year handling, adoption boundaries, analytic/numerical threshold agreement, monotonicity and exact scenario corners. These tests are not empirical observations. Official-document hashes, table transcriptions, coverage reasoning and figure-source values are separate evidence checks.</w:t>
      </w:r>
    </w:p>
    <w:p>
      <w:pPr>
        <w:pStyle w:val="BodyText"/>
      </w:pPr>
      <w:r>
        <w:t xml:space="preserve">References were checked against DOI metadata and authoritative publisher records. Reading coverage differs by source: the Bergero and Dray papers were used at the official-abstract level; Ang (2005) was bibliographically verified but its full text was not retrieved. The decomposition equations and closure checks are self-contained. Current MDPI author instructions, scope and research-data/artificial-intelligence policies were read; these checks do not constitute a journal acceptance decision or human-author attestation.</w:t>
      </w:r>
    </w:p>
    <w:p>
      <w:pPr>
        <w:pStyle w:val="BodyText"/>
      </w:pPr>
      <w:r>
        <w:t xml:space="preserve">No confidential thesis survey responses or unverified capability scores were reused. Public archive publication and formal submission have not been performed. Author details, contributions, funding, conflicts, prior-thesis relationship and human-author review remain to be completed by the authors.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2026-10-16T04:52:47Z</dcterms:created>
  <dcterms:modified xsi:type="dcterms:W3CDTF">2026-10-16T04:52:47Z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