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b/>
          <w:color w:val="7A1F5C"/>
          <w:sz w:val="18"/>
        </w:rPr>
        <w:t>ACCENTURE INNOVATION CHALLENGE 2026  /  ROUND 2</w:t>
      </w:r>
    </w:p>
    <w:p>
      <w:pPr>
        <w:pStyle w:val="Title"/>
      </w:pPr>
      <w:r>
        <w:t>TriageLoop.ai</w:t>
      </w:r>
    </w:p>
    <w:p>
      <w:pPr>
        <w:spacing w:after="360"/>
      </w:pPr>
      <w:r>
        <w:rPr>
          <w:b/>
          <w:color w:val="211C27"/>
          <w:sz w:val="38"/>
        </w:rPr>
        <w:t>The deadline-aware operating layer for emergency-department waiting rooms</w:t>
      </w:r>
    </w:p>
    <w:p>
      <w:pPr>
        <w:spacing w:before="100" w:after="160" w:line="269" w:lineRule="auto"/>
        <w:ind w:left="115" w:right="115"/>
        <w:shd w:fill="F7EEF4"/>
        <w:jc w:val="left"/>
        <w:keepLines/>
      </w:pPr>
      <w:r>
        <w:rPr>
          <w:b/>
          <w:color w:val="7A1F5C"/>
        </w:rPr>
        <w:t xml:space="preserve">The proposition  </w:t>
      </w:r>
      <w:r>
        <w:t>A changing patient creates a changing clinical deadline. TriageLoop turns that need into an Action Window, checks whether the live queue can act in time, and exposes any shortfall as Clinical Slack—without taking the decision away from the clinician.</w:t>
      </w:r>
    </w:p>
    <w:p>
      <w:pPr>
        <w:pStyle w:val="Subtitle"/>
      </w:pPr>
      <w:r>
        <w:t>Detailed business proposal  •  22 August 2026</w:t>
      </w:r>
    </w:p>
    <w:p>
      <w:pPr>
        <w:pStyle w:val="Subtitle"/>
      </w:pPr>
      <w:r>
        <w:t>Prepared for the Accenture Innovation Challenge jury</w:t>
      </w:r>
    </w:p>
    <w:p>
      <w:pPr>
        <w:spacing w:before="2700"/>
      </w:pPr>
      <w:r>
        <w:rPr>
          <w:color w:val="625B67"/>
          <w:sz w:val="17"/>
        </w:rPr>
        <w:t>Research prototype  |  Synthetic data  |  No autonomous diagnosis, treatment, discharge or downgrade</w:t>
      </w:r>
    </w:p>
    <w:p>
      <w:r>
        <w:br w:type="page"/>
      </w:r>
    </w:p>
    <w:p>
      <w:pPr>
        <w:pStyle w:val="Heading1"/>
        <w:keepNext/>
      </w:pPr>
      <w:r>
        <w:t>1. Executive decision brief</w:t>
      </w:r>
    </w:p>
    <w:p>
      <w:pPr>
        <w:pStyle w:val="Subtitle"/>
        <w:spacing w:after="200"/>
      </w:pPr>
      <w:r>
        <w:t>What the jury should remember</w:t>
      </w:r>
    </w:p>
    <w:p>
      <w:pPr>
        <w:keepLines/>
      </w:pPr>
      <w:r>
        <w:t>A conventional triage category is recorded at arrival; the patient and the queue keep changing. This creates a hidden operational risk: a patient can deteriorate or wait beyond a safe reassessment threshold while the original category still looks unchanged.</w:t>
      </w:r>
    </w:p>
    <w:p>
      <w:pPr>
        <w:spacing w:before="100" w:after="160" w:line="269" w:lineRule="auto"/>
        <w:ind w:left="115" w:right="115"/>
        <w:shd w:fill="F7EEF4"/>
        <w:jc w:val="left"/>
        <w:keepLines/>
      </w:pPr>
      <w:r>
        <w:rPr>
          <w:b/>
          <w:color w:val="7A1F5C"/>
        </w:rPr>
        <w:t xml:space="preserve">One invention, three moves  </w:t>
      </w:r>
      <w:r>
        <w:t>Patient need becomes time. Time is tested against capacity. A clinician closes the loop.</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376"/>
            <w:shd w:fill="52163E"/>
            <w:vAlign w:val="center"/>
            <w:tcMar>
              <w:top w:w="80" w:type="dxa"/>
              <w:start w:w="120" w:type="dxa"/>
              <w:bottom w:w="80" w:type="dxa"/>
              <w:end w:w="120" w:type="dxa"/>
            </w:tcMar>
          </w:tcPr>
          <w:p>
            <w:pPr>
              <w:jc w:val="left"/>
            </w:pPr>
            <w:r>
              <w:rPr>
                <w:b/>
                <w:color w:val="FFFFFF"/>
                <w:sz w:val="17"/>
              </w:rPr>
              <w:t>Question</w:t>
            </w:r>
          </w:p>
        </w:tc>
        <w:tc>
          <w:tcPr>
            <w:tcW w:type="dxa" w:w="7272"/>
            <w:shd w:fill="52163E"/>
            <w:vAlign w:val="center"/>
            <w:tcMar>
              <w:top w:w="80" w:type="dxa"/>
              <w:start w:w="120" w:type="dxa"/>
              <w:bottom w:w="80" w:type="dxa"/>
              <w:end w:w="120" w:type="dxa"/>
            </w:tcMar>
          </w:tcPr>
          <w:p>
            <w:pPr>
              <w:jc w:val="left"/>
            </w:pPr>
            <w:r>
              <w:rPr>
                <w:b/>
                <w:color w:val="FFFFFF"/>
                <w:sz w:val="17"/>
              </w:rPr>
              <w:t>TriageLoop answer</w:t>
            </w:r>
          </w:p>
        </w:tc>
      </w:tr>
      <w:tr>
        <w:trPr>
          <w:cantSplit/>
        </w:trPr>
        <w:tc>
          <w:tcPr>
            <w:tcW w:type="dxa" w:w="2376"/>
            <w:vAlign w:val="top"/>
            <w:tcMar>
              <w:top w:w="80" w:type="dxa"/>
              <w:start w:w="120" w:type="dxa"/>
              <w:bottom w:w="80" w:type="dxa"/>
              <w:end w:w="120" w:type="dxa"/>
            </w:tcMar>
          </w:tcPr>
          <w:p>
            <w:pPr>
              <w:spacing w:after="40"/>
              <w:jc w:val="left"/>
            </w:pPr>
            <w:r>
              <w:rPr>
                <w:sz w:val="16"/>
              </w:rPr>
              <w:t>Who needs attention next?</w:t>
            </w:r>
          </w:p>
        </w:tc>
        <w:tc>
          <w:tcPr>
            <w:tcW w:type="dxa" w:w="7272"/>
            <w:vAlign w:val="top"/>
            <w:tcMar>
              <w:top w:w="80" w:type="dxa"/>
              <w:start w:w="120" w:type="dxa"/>
              <w:bottom w:w="80" w:type="dxa"/>
              <w:end w:w="120" w:type="dxa"/>
            </w:tcMar>
          </w:tcPr>
          <w:p>
            <w:pPr>
              <w:spacing w:after="40"/>
              <w:jc w:val="left"/>
            </w:pPr>
            <w:r>
              <w:rPr>
                <w:sz w:val="16"/>
              </w:rPr>
              <w:t>A deadline board re-ranks waiting patients using rules, trajectory, uncertainty and queue feasibility.</w:t>
            </w:r>
          </w:p>
        </w:tc>
      </w:tr>
      <w:tr>
        <w:trPr>
          <w:cantSplit/>
        </w:trPr>
        <w:tc>
          <w:tcPr>
            <w:tcW w:type="dxa" w:w="2376"/>
            <w:vAlign w:val="top"/>
            <w:tcMar>
              <w:top w:w="80" w:type="dxa"/>
              <w:start w:w="120" w:type="dxa"/>
              <w:bottom w:w="80" w:type="dxa"/>
              <w:end w:w="120" w:type="dxa"/>
            </w:tcMar>
            <w:shd w:fill="F6F5F7"/>
          </w:tcPr>
          <w:p>
            <w:pPr>
              <w:spacing w:after="40"/>
              <w:jc w:val="left"/>
            </w:pPr>
            <w:r>
              <w:rPr>
                <w:sz w:val="16"/>
              </w:rPr>
              <w:t>By when?</w:t>
            </w:r>
          </w:p>
        </w:tc>
        <w:tc>
          <w:tcPr>
            <w:tcW w:type="dxa" w:w="7272"/>
            <w:vAlign w:val="top"/>
            <w:tcMar>
              <w:top w:w="80" w:type="dxa"/>
              <w:start w:w="120" w:type="dxa"/>
              <w:bottom w:w="80" w:type="dxa"/>
              <w:end w:w="120" w:type="dxa"/>
            </w:tcMar>
            <w:shd w:fill="F6F5F7"/>
          </w:tcPr>
          <w:p>
            <w:pPr>
              <w:spacing w:after="40"/>
              <w:jc w:val="left"/>
            </w:pPr>
            <w:r>
              <w:rPr>
                <w:sz w:val="16"/>
              </w:rPr>
              <w:t>A bounded Dynamic Action Window recommends when review or action is required; it is not a guarantee of safety until that time.</w:t>
            </w:r>
          </w:p>
        </w:tc>
      </w:tr>
      <w:tr>
        <w:trPr>
          <w:cantSplit/>
        </w:trPr>
        <w:tc>
          <w:tcPr>
            <w:tcW w:type="dxa" w:w="2376"/>
            <w:vAlign w:val="top"/>
            <w:tcMar>
              <w:top w:w="80" w:type="dxa"/>
              <w:start w:w="120" w:type="dxa"/>
              <w:bottom w:w="80" w:type="dxa"/>
              <w:end w:w="120" w:type="dxa"/>
            </w:tcMar>
          </w:tcPr>
          <w:p>
            <w:pPr>
              <w:spacing w:after="40"/>
              <w:jc w:val="left"/>
            </w:pPr>
            <w:r>
              <w:rPr>
                <w:sz w:val="16"/>
              </w:rPr>
              <w:t>Can the ED meet it?</w:t>
            </w:r>
          </w:p>
        </w:tc>
        <w:tc>
          <w:tcPr>
            <w:tcW w:type="dxa" w:w="7272"/>
            <w:vAlign w:val="top"/>
            <w:tcMar>
              <w:top w:w="80" w:type="dxa"/>
              <w:start w:w="120" w:type="dxa"/>
              <w:bottom w:w="80" w:type="dxa"/>
              <w:end w:w="120" w:type="dxa"/>
            </w:tcMar>
          </w:tcPr>
          <w:p>
            <w:pPr>
              <w:spacing w:after="40"/>
              <w:jc w:val="left"/>
            </w:pPr>
            <w:r>
              <w:rPr>
                <w:sz w:val="16"/>
              </w:rPr>
              <w:t>Clinical Slack = Action Window minus predicted time to action. Negative Slack is an explicit capacity conflict.</w:t>
            </w:r>
          </w:p>
        </w:tc>
      </w:tr>
      <w:tr>
        <w:trPr>
          <w:cantSplit/>
        </w:trPr>
        <w:tc>
          <w:tcPr>
            <w:tcW w:type="dxa" w:w="2376"/>
            <w:vAlign w:val="top"/>
            <w:tcMar>
              <w:top w:w="80" w:type="dxa"/>
              <w:start w:w="120" w:type="dxa"/>
              <w:bottom w:w="80" w:type="dxa"/>
              <w:end w:w="120" w:type="dxa"/>
            </w:tcMar>
            <w:shd w:fill="F6F5F7"/>
          </w:tcPr>
          <w:p>
            <w:pPr>
              <w:spacing w:after="40"/>
              <w:jc w:val="left"/>
            </w:pPr>
            <w:r>
              <w:rPr>
                <w:sz w:val="16"/>
              </w:rPr>
              <w:t>What if the model is unsure?</w:t>
            </w:r>
          </w:p>
        </w:tc>
        <w:tc>
          <w:tcPr>
            <w:tcW w:type="dxa" w:w="7272"/>
            <w:vAlign w:val="top"/>
            <w:tcMar>
              <w:top w:w="80" w:type="dxa"/>
              <w:start w:w="120" w:type="dxa"/>
              <w:bottom w:w="80" w:type="dxa"/>
              <w:end w:w="120" w:type="dxa"/>
            </w:tcMar>
            <w:shd w:fill="F6F5F7"/>
          </w:tcPr>
          <w:p>
            <w:pPr>
              <w:spacing w:after="40"/>
              <w:jc w:val="left"/>
            </w:pPr>
            <w:r>
              <w:rPr>
                <w:sz w:val="16"/>
              </w:rPr>
              <w:t>Safe Mode, conservative review and a first-observation suggestion; never autonomous clearance or downgrade.</w:t>
            </w:r>
          </w:p>
        </w:tc>
      </w:tr>
      <w:tr>
        <w:trPr>
          <w:cantSplit/>
        </w:trPr>
        <w:tc>
          <w:tcPr>
            <w:tcW w:type="dxa" w:w="2376"/>
            <w:vAlign w:val="top"/>
            <w:tcMar>
              <w:top w:w="80" w:type="dxa"/>
              <w:start w:w="120" w:type="dxa"/>
              <w:bottom w:w="80" w:type="dxa"/>
              <w:end w:w="120" w:type="dxa"/>
            </w:tcMar>
          </w:tcPr>
          <w:p>
            <w:pPr>
              <w:spacing w:after="40"/>
              <w:jc w:val="left"/>
            </w:pPr>
            <w:r>
              <w:rPr>
                <w:sz w:val="16"/>
              </w:rPr>
              <w:t>Who decides?</w:t>
            </w:r>
          </w:p>
        </w:tc>
        <w:tc>
          <w:tcPr>
            <w:tcW w:type="dxa" w:w="7272"/>
            <w:vAlign w:val="top"/>
            <w:tcMar>
              <w:top w:w="80" w:type="dxa"/>
              <w:start w:w="120" w:type="dxa"/>
              <w:bottom w:w="80" w:type="dxa"/>
              <w:end w:w="120" w:type="dxa"/>
            </w:tcMar>
          </w:tcPr>
          <w:p>
            <w:pPr>
              <w:spacing w:after="40"/>
              <w:jc w:val="left"/>
            </w:pPr>
            <w:r>
              <w:rPr>
                <w:sz w:val="16"/>
              </w:rPr>
              <w:t>The clinician accepts, modifies or overrides with a reason; every material transition is hash-audited.</w:t>
            </w:r>
          </w:p>
        </w:tc>
      </w:tr>
    </w:tbl>
    <w:p>
      <w:pPr>
        <w:spacing w:after="20"/>
      </w:pPr>
    </w:p>
    <w:p>
      <w:pPr>
        <w:pStyle w:val="Heading2"/>
        <w:keepNext/>
      </w:pPr>
      <w:r>
        <w:t>What has been built</w:t>
      </w:r>
    </w:p>
    <w:p>
      <w:pPr>
        <w:pStyle w:val="ListBullet"/>
        <w:spacing w:after="60"/>
        <w:ind w:left="490" w:hanging="230"/>
        <w:keepLines/>
      </w:pPr>
      <w:r>
        <w:t>A working nurse-facing web product with a live Deadline Board, patient inspector, surge scenario, deterioration event, clinician decision flow, evidence view and audit ledger.</w:t>
      </w:r>
    </w:p>
    <w:p>
      <w:pPr>
        <w:pStyle w:val="ListBullet"/>
        <w:spacing w:after="60"/>
        <w:ind w:left="490" w:hanging="230"/>
        <w:keepLines/>
      </w:pPr>
      <w:r>
        <w:t>A rules-first, calibrated trajectory-risk and uncertainty service over a versioned patient contract, 28 curated scenarios and a seeded 10,000-encounter synthetic generator.</w:t>
      </w:r>
    </w:p>
    <w:p>
      <w:pPr>
        <w:pStyle w:val="ListBullet"/>
        <w:spacing w:after="60"/>
        <w:ind w:left="490" w:hanging="230"/>
        <w:keepLines/>
      </w:pPr>
      <w:r>
        <w:t>A paired three-site Queue Twin comparing static, periodic re-triage and deadline-aware policies under baseline and 3× demand.</w:t>
      </w:r>
    </w:p>
    <w:p>
      <w:pPr>
        <w:pStyle w:val="ListBullet"/>
        <w:spacing w:after="60"/>
        <w:ind w:left="490" w:hanging="230"/>
        <w:keepLines/>
      </w:pPr>
      <w:r>
        <w:t>A reproducible repository with 73 automated tests, container configuration and explicit degraded-mode behavior.</w:t>
      </w:r>
    </w:p>
    <w:p>
      <w:pPr>
        <w:spacing w:before="100" w:after="160" w:line="269" w:lineRule="auto"/>
        <w:ind w:left="115" w:right="115"/>
        <w:shd w:fill="F7EEF4"/>
        <w:jc w:val="left"/>
        <w:keepLines/>
      </w:pPr>
      <w:r>
        <w:rPr>
          <w:b/>
          <w:color w:val="7A1F5C"/>
        </w:rPr>
        <w:t xml:space="preserve">Lead verified result  </w:t>
      </w:r>
      <w:r>
        <w:t>Across 1,200 paired synthetic verification shifts, Action Window misses under 3× surge fell from 17.7% to 14.1% versus fixed 15-minute periodic re-triage: a 20.5% relative reduction (95% CI 17.4%–23.8%).</w:t>
      </w:r>
    </w:p>
    <w:p>
      <w:r>
        <w:br w:type="page"/>
      </w:r>
    </w:p>
    <w:p>
      <w:pPr>
        <w:pStyle w:val="Heading1"/>
        <w:keepNext/>
      </w:pPr>
      <w:r>
        <w:t>2. Problem framing</w:t>
      </w:r>
    </w:p>
    <w:p>
      <w:pPr>
        <w:pStyle w:val="Subtitle"/>
        <w:spacing w:after="200"/>
      </w:pPr>
      <w:r>
        <w:t>The risk is not only misclassification; it is unmanaged change while waiting</w:t>
      </w:r>
    </w:p>
    <w:p>
      <w:pPr>
        <w:pStyle w:val="Heading2"/>
        <w:keepNext/>
      </w:pPr>
      <w:r>
        <w:t>The operational gap</w:t>
      </w:r>
    </w:p>
    <w:p>
      <w:pPr>
        <w:keepLines/>
      </w:pPr>
      <w:r>
        <w:t>Most triage workflows produce an arrival category or score. That output is useful, but it is a snapshot. Subsequent deterioration, missing data, age-specific presentation and queue congestion create a second problem: deciding when each waiting patient must be reassessed or seen, and whether the department is operationally capable of meeting that need.</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3240"/>
            <w:shd w:fill="52163E"/>
            <w:vAlign w:val="center"/>
            <w:tcMar>
              <w:top w:w="80" w:type="dxa"/>
              <w:start w:w="120" w:type="dxa"/>
              <w:bottom w:w="80" w:type="dxa"/>
              <w:end w:w="120" w:type="dxa"/>
            </w:tcMar>
          </w:tcPr>
          <w:p>
            <w:pPr>
              <w:jc w:val="left"/>
            </w:pPr>
            <w:r>
              <w:rPr>
                <w:b/>
                <w:color w:val="FFFFFF"/>
                <w:sz w:val="17"/>
              </w:rPr>
              <w:t>Problem-statement complexity</w:t>
            </w:r>
          </w:p>
        </w:tc>
        <w:tc>
          <w:tcPr>
            <w:tcW w:type="dxa" w:w="6408"/>
            <w:shd w:fill="52163E"/>
            <w:vAlign w:val="center"/>
            <w:tcMar>
              <w:top w:w="80" w:type="dxa"/>
              <w:start w:w="120" w:type="dxa"/>
              <w:bottom w:w="80" w:type="dxa"/>
              <w:end w:w="120" w:type="dxa"/>
            </w:tcMar>
          </w:tcPr>
          <w:p>
            <w:pPr>
              <w:jc w:val="left"/>
            </w:pPr>
            <w:r>
              <w:rPr>
                <w:b/>
                <w:color w:val="FFFFFF"/>
                <w:sz w:val="17"/>
              </w:rPr>
              <w:t>Visible response in the prototype</w:t>
            </w:r>
          </w:p>
        </w:tc>
      </w:tr>
      <w:tr>
        <w:trPr>
          <w:cantSplit/>
        </w:trPr>
        <w:tc>
          <w:tcPr>
            <w:tcW w:type="dxa" w:w="3240"/>
            <w:vAlign w:val="top"/>
            <w:tcMar>
              <w:top w:w="80" w:type="dxa"/>
              <w:start w:w="120" w:type="dxa"/>
              <w:bottom w:w="80" w:type="dxa"/>
              <w:end w:w="120" w:type="dxa"/>
            </w:tcMar>
          </w:tcPr>
          <w:p>
            <w:pPr>
              <w:spacing w:after="40"/>
              <w:jc w:val="left"/>
            </w:pPr>
            <w:r>
              <w:rPr>
                <w:sz w:val="16"/>
              </w:rPr>
              <w:t>Ambiguous, overlapping or under-reported symptoms</w:t>
            </w:r>
          </w:p>
        </w:tc>
        <w:tc>
          <w:tcPr>
            <w:tcW w:type="dxa" w:w="6408"/>
            <w:vAlign w:val="top"/>
            <w:tcMar>
              <w:top w:w="80" w:type="dxa"/>
              <w:start w:w="120" w:type="dxa"/>
              <w:bottom w:w="80" w:type="dxa"/>
              <w:end w:w="120" w:type="dxa"/>
            </w:tcMar>
          </w:tcPr>
          <w:p>
            <w:pPr>
              <w:spacing w:after="40"/>
              <w:jc w:val="left"/>
            </w:pPr>
            <w:r>
              <w:rPr>
                <w:sz w:val="16"/>
              </w:rPr>
              <w:t>Repeated observations, data reliability, uncertainty state and conservative review.</w:t>
            </w:r>
          </w:p>
        </w:tc>
      </w:tr>
      <w:tr>
        <w:trPr>
          <w:cantSplit/>
        </w:trPr>
        <w:tc>
          <w:tcPr>
            <w:tcW w:type="dxa" w:w="3240"/>
            <w:vAlign w:val="top"/>
            <w:tcMar>
              <w:top w:w="80" w:type="dxa"/>
              <w:start w:w="120" w:type="dxa"/>
              <w:bottom w:w="80" w:type="dxa"/>
              <w:end w:w="120" w:type="dxa"/>
            </w:tcMar>
            <w:shd w:fill="F6F5F7"/>
          </w:tcPr>
          <w:p>
            <w:pPr>
              <w:spacing w:after="40"/>
              <w:jc w:val="left"/>
            </w:pPr>
            <w:r>
              <w:rPr>
                <w:sz w:val="16"/>
              </w:rPr>
              <w:t>Paediatric, adult and geriatric differences</w:t>
            </w:r>
          </w:p>
        </w:tc>
        <w:tc>
          <w:tcPr>
            <w:tcW w:type="dxa" w:w="6408"/>
            <w:vAlign w:val="top"/>
            <w:tcMar>
              <w:top w:w="80" w:type="dxa"/>
              <w:start w:w="120" w:type="dxa"/>
              <w:bottom w:w="80" w:type="dxa"/>
              <w:end w:w="120" w:type="dxa"/>
            </w:tcMar>
            <w:shd w:fill="F6F5F7"/>
          </w:tcPr>
          <w:p>
            <w:pPr>
              <w:spacing w:after="40"/>
              <w:jc w:val="left"/>
            </w:pPr>
            <w:r>
              <w:rPr>
                <w:sz w:val="16"/>
              </w:rPr>
              <w:t>Age-banded synthetic cohorts and age-aware deterministic red-flag gates.</w:t>
            </w:r>
          </w:p>
        </w:tc>
      </w:tr>
      <w:tr>
        <w:trPr>
          <w:cantSplit/>
        </w:trPr>
        <w:tc>
          <w:tcPr>
            <w:tcW w:type="dxa" w:w="3240"/>
            <w:vAlign w:val="top"/>
            <w:tcMar>
              <w:top w:w="80" w:type="dxa"/>
              <w:start w:w="120" w:type="dxa"/>
              <w:bottom w:w="80" w:type="dxa"/>
              <w:end w:w="120" w:type="dxa"/>
            </w:tcMar>
          </w:tcPr>
          <w:p>
            <w:pPr>
              <w:spacing w:after="40"/>
              <w:jc w:val="left"/>
            </w:pPr>
            <w:r>
              <w:rPr>
                <w:sz w:val="16"/>
              </w:rPr>
              <w:t>Limited intake / zero history</w:t>
            </w:r>
          </w:p>
        </w:tc>
        <w:tc>
          <w:tcPr>
            <w:tcW w:type="dxa" w:w="6408"/>
            <w:vAlign w:val="top"/>
            <w:tcMar>
              <w:top w:w="80" w:type="dxa"/>
              <w:start w:w="120" w:type="dxa"/>
              <w:bottom w:w="80" w:type="dxa"/>
              <w:end w:w="120" w:type="dxa"/>
            </w:tcMar>
          </w:tcPr>
          <w:p>
            <w:pPr>
              <w:spacing w:after="40"/>
              <w:jc w:val="left"/>
            </w:pPr>
            <w:r>
              <w:rPr>
                <w:sz w:val="16"/>
              </w:rPr>
              <w:t>Strict provenance contract, missingness checks and Safe Mode; no dependency on prior records.</w:t>
            </w:r>
          </w:p>
        </w:tc>
      </w:tr>
      <w:tr>
        <w:trPr>
          <w:cantSplit/>
        </w:trPr>
        <w:tc>
          <w:tcPr>
            <w:tcW w:type="dxa" w:w="3240"/>
            <w:vAlign w:val="top"/>
            <w:tcMar>
              <w:top w:w="80" w:type="dxa"/>
              <w:start w:w="120" w:type="dxa"/>
              <w:bottom w:w="80" w:type="dxa"/>
              <w:end w:w="120" w:type="dxa"/>
            </w:tcMar>
            <w:shd w:fill="F6F5F7"/>
          </w:tcPr>
          <w:p>
            <w:pPr>
              <w:spacing w:after="40"/>
              <w:jc w:val="left"/>
            </w:pPr>
            <w:r>
              <w:rPr>
                <w:sz w:val="16"/>
              </w:rPr>
              <w:t>Asymmetric under- and over-triage harm</w:t>
            </w:r>
          </w:p>
        </w:tc>
        <w:tc>
          <w:tcPr>
            <w:tcW w:type="dxa" w:w="6408"/>
            <w:vAlign w:val="top"/>
            <w:tcMar>
              <w:top w:w="80" w:type="dxa"/>
              <w:start w:w="120" w:type="dxa"/>
              <w:bottom w:w="80" w:type="dxa"/>
              <w:end w:w="120" w:type="dxa"/>
            </w:tcMar>
            <w:shd w:fill="F6F5F7"/>
          </w:tcPr>
          <w:p>
            <w:pPr>
              <w:spacing w:after="40"/>
              <w:jc w:val="left"/>
            </w:pPr>
            <w:r>
              <w:rPr>
                <w:sz w:val="16"/>
              </w:rPr>
              <w:t>Recall-constrained operating points and 5:1 / 10:1 / 20:1 sensitivity analysis.</w:t>
            </w:r>
          </w:p>
        </w:tc>
      </w:tr>
      <w:tr>
        <w:trPr>
          <w:cantSplit/>
        </w:trPr>
        <w:tc>
          <w:tcPr>
            <w:tcW w:type="dxa" w:w="3240"/>
            <w:vAlign w:val="top"/>
            <w:tcMar>
              <w:top w:w="80" w:type="dxa"/>
              <w:start w:w="120" w:type="dxa"/>
              <w:bottom w:w="80" w:type="dxa"/>
              <w:end w:w="120" w:type="dxa"/>
            </w:tcMar>
          </w:tcPr>
          <w:p>
            <w:pPr>
              <w:spacing w:after="40"/>
              <w:jc w:val="left"/>
            </w:pPr>
            <w:r>
              <w:rPr>
                <w:sz w:val="16"/>
              </w:rPr>
              <w:t>Hospitals vary in size, specialty and staffing</w:t>
            </w:r>
          </w:p>
        </w:tc>
        <w:tc>
          <w:tcPr>
            <w:tcW w:type="dxa" w:w="6408"/>
            <w:vAlign w:val="top"/>
            <w:tcMar>
              <w:top w:w="80" w:type="dxa"/>
              <w:start w:w="120" w:type="dxa"/>
              <w:bottom w:w="80" w:type="dxa"/>
              <w:end w:w="120" w:type="dxa"/>
            </w:tcMar>
          </w:tcPr>
          <w:p>
            <w:pPr>
              <w:spacing w:after="40"/>
              <w:jc w:val="left"/>
            </w:pPr>
            <w:r>
              <w:rPr>
                <w:sz w:val="16"/>
              </w:rPr>
              <w:t>Configurable community, regional and urban-trauma Queue Twin profiles.</w:t>
            </w:r>
          </w:p>
        </w:tc>
      </w:tr>
      <w:tr>
        <w:trPr>
          <w:cantSplit/>
        </w:trPr>
        <w:tc>
          <w:tcPr>
            <w:tcW w:type="dxa" w:w="3240"/>
            <w:vAlign w:val="top"/>
            <w:tcMar>
              <w:top w:w="80" w:type="dxa"/>
              <w:start w:w="120" w:type="dxa"/>
              <w:bottom w:w="80" w:type="dxa"/>
              <w:end w:w="120" w:type="dxa"/>
            </w:tcMar>
            <w:shd w:fill="F6F5F7"/>
          </w:tcPr>
          <w:p>
            <w:pPr>
              <w:spacing w:after="40"/>
              <w:jc w:val="left"/>
            </w:pPr>
            <w:r>
              <w:rPr>
                <w:sz w:val="16"/>
              </w:rPr>
              <w:t>Patients deteriorate while waiting</w:t>
            </w:r>
          </w:p>
        </w:tc>
        <w:tc>
          <w:tcPr>
            <w:tcW w:type="dxa" w:w="6408"/>
            <w:vAlign w:val="top"/>
            <w:tcMar>
              <w:top w:w="80" w:type="dxa"/>
              <w:start w:w="120" w:type="dxa"/>
              <w:bottom w:w="80" w:type="dxa"/>
              <w:end w:w="120" w:type="dxa"/>
            </w:tcMar>
            <w:shd w:fill="F6F5F7"/>
          </w:tcPr>
          <w:p>
            <w:pPr>
              <w:spacing w:after="40"/>
              <w:jc w:val="left"/>
            </w:pPr>
            <w:r>
              <w:rPr>
                <w:sz w:val="16"/>
              </w:rPr>
              <w:t>Re-recorded vitals and wait thresholds trigger reassessment and queue recomputation.</w:t>
            </w:r>
          </w:p>
        </w:tc>
      </w:tr>
      <w:tr>
        <w:trPr>
          <w:cantSplit/>
        </w:trPr>
        <w:tc>
          <w:tcPr>
            <w:tcW w:type="dxa" w:w="3240"/>
            <w:vAlign w:val="top"/>
            <w:tcMar>
              <w:top w:w="80" w:type="dxa"/>
              <w:start w:w="120" w:type="dxa"/>
              <w:bottom w:w="80" w:type="dxa"/>
              <w:end w:w="120" w:type="dxa"/>
            </w:tcMar>
          </w:tcPr>
          <w:p>
            <w:pPr>
              <w:spacing w:after="40"/>
              <w:jc w:val="left"/>
            </w:pPr>
            <w:r>
              <w:rPr>
                <w:sz w:val="16"/>
              </w:rPr>
              <w:t>Clinician review and auditability</w:t>
            </w:r>
          </w:p>
        </w:tc>
        <w:tc>
          <w:tcPr>
            <w:tcW w:type="dxa" w:w="6408"/>
            <w:vAlign w:val="top"/>
            <w:tcMar>
              <w:top w:w="80" w:type="dxa"/>
              <w:start w:w="120" w:type="dxa"/>
              <w:bottom w:w="80" w:type="dxa"/>
              <w:end w:w="120" w:type="dxa"/>
            </w:tcMar>
          </w:tcPr>
          <w:p>
            <w:pPr>
              <w:spacing w:after="40"/>
              <w:jc w:val="left"/>
            </w:pPr>
            <w:r>
              <w:rPr>
                <w:sz w:val="16"/>
              </w:rPr>
              <w:t>Accept / modify / override with reasons and a recomputed SHA-256 event chain.</w:t>
            </w:r>
          </w:p>
        </w:tc>
      </w:tr>
      <w:tr>
        <w:trPr>
          <w:cantSplit/>
        </w:trPr>
        <w:tc>
          <w:tcPr>
            <w:tcW w:type="dxa" w:w="3240"/>
            <w:vAlign w:val="top"/>
            <w:tcMar>
              <w:top w:w="80" w:type="dxa"/>
              <w:start w:w="120" w:type="dxa"/>
              <w:bottom w:w="80" w:type="dxa"/>
              <w:end w:w="120" w:type="dxa"/>
            </w:tcMar>
            <w:shd w:fill="F6F5F7"/>
          </w:tcPr>
          <w:p>
            <w:pPr>
              <w:spacing w:after="40"/>
              <w:jc w:val="left"/>
            </w:pPr>
            <w:r>
              <w:rPr>
                <w:sz w:val="16"/>
              </w:rPr>
              <w:t>Adoption, protection and scaling</w:t>
            </w:r>
          </w:p>
        </w:tc>
        <w:tc>
          <w:tcPr>
            <w:tcW w:type="dxa" w:w="6408"/>
            <w:vAlign w:val="top"/>
            <w:tcMar>
              <w:top w:w="80" w:type="dxa"/>
              <w:start w:w="120" w:type="dxa"/>
              <w:bottom w:w="80" w:type="dxa"/>
              <w:end w:w="120" w:type="dxa"/>
            </w:tcMar>
            <w:shd w:fill="F6F5F7"/>
          </w:tcPr>
          <w:p>
            <w:pPr>
              <w:spacing w:after="40"/>
              <w:jc w:val="left"/>
            </w:pPr>
            <w:r>
              <w:rPr>
                <w:sz w:val="16"/>
              </w:rPr>
              <w:t>One consolidated signal, synthetic-only boundary, role context, adapters and staged rollout.</w:t>
            </w:r>
          </w:p>
        </w:tc>
      </w:tr>
    </w:tbl>
    <w:p>
      <w:pPr>
        <w:spacing w:after="20"/>
      </w:pPr>
    </w:p>
    <w:p>
      <w:pPr>
        <w:pStyle w:val="Heading2"/>
        <w:keepNext/>
      </w:pPr>
      <w:r>
        <w:t>Target users and decision owners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800"/>
            <w:shd w:fill="52163E"/>
            <w:vAlign w:val="center"/>
            <w:tcMar>
              <w:top w:w="80" w:type="dxa"/>
              <w:start w:w="120" w:type="dxa"/>
              <w:bottom w:w="80" w:type="dxa"/>
              <w:end w:w="120" w:type="dxa"/>
            </w:tcMar>
          </w:tcPr>
          <w:p>
            <w:pPr>
              <w:jc w:val="left"/>
            </w:pPr>
            <w:r>
              <w:rPr>
                <w:b/>
                <w:color w:val="FFFFFF"/>
                <w:sz w:val="17"/>
              </w:rPr>
              <w:t>User</w:t>
            </w:r>
          </w:p>
        </w:tc>
        <w:tc>
          <w:tcPr>
            <w:tcW w:type="dxa" w:w="3672"/>
            <w:shd w:fill="52163E"/>
            <w:vAlign w:val="center"/>
            <w:tcMar>
              <w:top w:w="80" w:type="dxa"/>
              <w:start w:w="120" w:type="dxa"/>
              <w:bottom w:w="80" w:type="dxa"/>
              <w:end w:w="120" w:type="dxa"/>
            </w:tcMar>
          </w:tcPr>
          <w:p>
            <w:pPr>
              <w:jc w:val="left"/>
            </w:pPr>
            <w:r>
              <w:rPr>
                <w:b/>
                <w:color w:val="FFFFFF"/>
                <w:sz w:val="17"/>
              </w:rPr>
              <w:t>Job to be done</w:t>
            </w:r>
          </w:p>
        </w:tc>
        <w:tc>
          <w:tcPr>
            <w:tcW w:type="dxa" w:w="4176"/>
            <w:shd w:fill="52163E"/>
            <w:vAlign w:val="center"/>
            <w:tcMar>
              <w:top w:w="80" w:type="dxa"/>
              <w:start w:w="120" w:type="dxa"/>
              <w:bottom w:w="80" w:type="dxa"/>
              <w:end w:w="120" w:type="dxa"/>
            </w:tcMar>
          </w:tcPr>
          <w:p>
            <w:pPr>
              <w:jc w:val="left"/>
            </w:pPr>
            <w:r>
              <w:rPr>
                <w:b/>
                <w:color w:val="FFFFFF"/>
                <w:sz w:val="17"/>
              </w:rPr>
              <w:t>Value delivered</w:t>
            </w:r>
          </w:p>
        </w:tc>
      </w:tr>
      <w:tr>
        <w:trPr>
          <w:cantSplit/>
        </w:trPr>
        <w:tc>
          <w:tcPr>
            <w:tcW w:type="dxa" w:w="1800"/>
            <w:vAlign w:val="top"/>
            <w:tcMar>
              <w:top w:w="80" w:type="dxa"/>
              <w:start w:w="120" w:type="dxa"/>
              <w:bottom w:w="80" w:type="dxa"/>
              <w:end w:w="120" w:type="dxa"/>
            </w:tcMar>
          </w:tcPr>
          <w:p>
            <w:pPr>
              <w:spacing w:after="40"/>
              <w:jc w:val="left"/>
            </w:pPr>
            <w:r>
              <w:rPr>
                <w:sz w:val="16"/>
              </w:rPr>
              <w:t>Triage nurse</w:t>
            </w:r>
          </w:p>
        </w:tc>
        <w:tc>
          <w:tcPr>
            <w:tcW w:type="dxa" w:w="3672"/>
            <w:vAlign w:val="top"/>
            <w:tcMar>
              <w:top w:w="80" w:type="dxa"/>
              <w:start w:w="120" w:type="dxa"/>
              <w:bottom w:w="80" w:type="dxa"/>
              <w:end w:w="120" w:type="dxa"/>
            </w:tcMar>
          </w:tcPr>
          <w:p>
            <w:pPr>
              <w:spacing w:after="40"/>
              <w:jc w:val="left"/>
            </w:pPr>
            <w:r>
              <w:rPr>
                <w:sz w:val="16"/>
              </w:rPr>
              <w:t>Maintain awareness across all waiting patients</w:t>
            </w:r>
          </w:p>
        </w:tc>
        <w:tc>
          <w:tcPr>
            <w:tcW w:type="dxa" w:w="4176"/>
            <w:vAlign w:val="top"/>
            <w:tcMar>
              <w:top w:w="80" w:type="dxa"/>
              <w:start w:w="120" w:type="dxa"/>
              <w:bottom w:w="80" w:type="dxa"/>
              <w:end w:w="120" w:type="dxa"/>
            </w:tcMar>
          </w:tcPr>
          <w:p>
            <w:pPr>
              <w:spacing w:after="40"/>
              <w:jc w:val="left"/>
            </w:pPr>
            <w:r>
              <w:rPr>
                <w:sz w:val="16"/>
              </w:rPr>
              <w:t>A ranked, explainable queue with a clear next action and deadline.</w:t>
            </w:r>
          </w:p>
        </w:tc>
      </w:tr>
      <w:tr>
        <w:trPr>
          <w:cantSplit/>
        </w:trPr>
        <w:tc>
          <w:tcPr>
            <w:tcW w:type="dxa" w:w="1800"/>
            <w:vAlign w:val="top"/>
            <w:tcMar>
              <w:top w:w="80" w:type="dxa"/>
              <w:start w:w="120" w:type="dxa"/>
              <w:bottom w:w="80" w:type="dxa"/>
              <w:end w:w="120" w:type="dxa"/>
            </w:tcMar>
            <w:shd w:fill="F6F5F7"/>
          </w:tcPr>
          <w:p>
            <w:pPr>
              <w:spacing w:after="40"/>
              <w:jc w:val="left"/>
            </w:pPr>
            <w:r>
              <w:rPr>
                <w:sz w:val="16"/>
              </w:rPr>
              <w:t>Charge nurse</w:t>
            </w:r>
          </w:p>
        </w:tc>
        <w:tc>
          <w:tcPr>
            <w:tcW w:type="dxa" w:w="3672"/>
            <w:vAlign w:val="top"/>
            <w:tcMar>
              <w:top w:w="80" w:type="dxa"/>
              <w:start w:w="120" w:type="dxa"/>
              <w:bottom w:w="80" w:type="dxa"/>
              <w:end w:w="120" w:type="dxa"/>
            </w:tcMar>
            <w:shd w:fill="F6F5F7"/>
          </w:tcPr>
          <w:p>
            <w:pPr>
              <w:spacing w:after="40"/>
              <w:jc w:val="left"/>
            </w:pPr>
            <w:r>
              <w:rPr>
                <w:sz w:val="16"/>
              </w:rPr>
              <w:t>Resolve capacity conflicts and allocate attention</w:t>
            </w:r>
          </w:p>
        </w:tc>
        <w:tc>
          <w:tcPr>
            <w:tcW w:type="dxa" w:w="4176"/>
            <w:vAlign w:val="top"/>
            <w:tcMar>
              <w:top w:w="80" w:type="dxa"/>
              <w:start w:w="120" w:type="dxa"/>
              <w:bottom w:w="80" w:type="dxa"/>
              <w:end w:w="120" w:type="dxa"/>
            </w:tcMar>
            <w:shd w:fill="F6F5F7"/>
          </w:tcPr>
          <w:p>
            <w:pPr>
              <w:spacing w:after="40"/>
              <w:jc w:val="left"/>
            </w:pPr>
            <w:r>
              <w:rPr>
                <w:sz w:val="16"/>
              </w:rPr>
              <w:t>Negative Slack and site-level infeasibility become visible early.</w:t>
            </w:r>
          </w:p>
        </w:tc>
      </w:tr>
      <w:tr>
        <w:trPr>
          <w:cantSplit/>
        </w:trPr>
        <w:tc>
          <w:tcPr>
            <w:tcW w:type="dxa" w:w="1800"/>
            <w:vAlign w:val="top"/>
            <w:tcMar>
              <w:top w:w="80" w:type="dxa"/>
              <w:start w:w="120" w:type="dxa"/>
              <w:bottom w:w="80" w:type="dxa"/>
              <w:end w:w="120" w:type="dxa"/>
            </w:tcMar>
          </w:tcPr>
          <w:p>
            <w:pPr>
              <w:spacing w:after="40"/>
              <w:jc w:val="left"/>
            </w:pPr>
            <w:r>
              <w:rPr>
                <w:sz w:val="16"/>
              </w:rPr>
              <w:t>Clinical quality / safety lead</w:t>
            </w:r>
          </w:p>
        </w:tc>
        <w:tc>
          <w:tcPr>
            <w:tcW w:type="dxa" w:w="3672"/>
            <w:vAlign w:val="top"/>
            <w:tcMar>
              <w:top w:w="80" w:type="dxa"/>
              <w:start w:w="120" w:type="dxa"/>
              <w:bottom w:w="80" w:type="dxa"/>
              <w:end w:w="120" w:type="dxa"/>
            </w:tcMar>
          </w:tcPr>
          <w:p>
            <w:pPr>
              <w:spacing w:after="40"/>
              <w:jc w:val="left"/>
            </w:pPr>
            <w:r>
              <w:rPr>
                <w:sz w:val="16"/>
              </w:rPr>
              <w:t>Govern rules, thresholds, audit and monitoring</w:t>
            </w:r>
          </w:p>
        </w:tc>
        <w:tc>
          <w:tcPr>
            <w:tcW w:type="dxa" w:w="4176"/>
            <w:vAlign w:val="top"/>
            <w:tcMar>
              <w:top w:w="80" w:type="dxa"/>
              <w:start w:w="120" w:type="dxa"/>
              <w:bottom w:w="80" w:type="dxa"/>
              <w:end w:w="120" w:type="dxa"/>
            </w:tcMar>
          </w:tcPr>
          <w:p>
            <w:pPr>
              <w:spacing w:after="40"/>
              <w:jc w:val="left"/>
            </w:pPr>
            <w:r>
              <w:rPr>
                <w:sz w:val="16"/>
              </w:rPr>
              <w:t>Versioned logic, traceable decisions and measurable safety gates.</w:t>
            </w:r>
          </w:p>
        </w:tc>
      </w:tr>
      <w:tr>
        <w:trPr>
          <w:cantSplit/>
        </w:trPr>
        <w:tc>
          <w:tcPr>
            <w:tcW w:type="dxa" w:w="1800"/>
            <w:vAlign w:val="top"/>
            <w:tcMar>
              <w:top w:w="80" w:type="dxa"/>
              <w:start w:w="120" w:type="dxa"/>
              <w:bottom w:w="80" w:type="dxa"/>
              <w:end w:w="120" w:type="dxa"/>
            </w:tcMar>
            <w:shd w:fill="F6F5F7"/>
          </w:tcPr>
          <w:p>
            <w:pPr>
              <w:spacing w:after="40"/>
              <w:jc w:val="left"/>
            </w:pPr>
            <w:r>
              <w:rPr>
                <w:sz w:val="16"/>
              </w:rPr>
              <w:t>Hospital digital / IT team</w:t>
            </w:r>
          </w:p>
        </w:tc>
        <w:tc>
          <w:tcPr>
            <w:tcW w:type="dxa" w:w="3672"/>
            <w:vAlign w:val="top"/>
            <w:tcMar>
              <w:top w:w="80" w:type="dxa"/>
              <w:start w:w="120" w:type="dxa"/>
              <w:bottom w:w="80" w:type="dxa"/>
              <w:end w:w="120" w:type="dxa"/>
            </w:tcMar>
            <w:shd w:fill="F6F5F7"/>
          </w:tcPr>
          <w:p>
            <w:pPr>
              <w:spacing w:after="40"/>
              <w:jc w:val="left"/>
            </w:pPr>
            <w:r>
              <w:rPr>
                <w:sz w:val="16"/>
              </w:rPr>
              <w:t>Integrate without replacing core systems</w:t>
            </w:r>
          </w:p>
        </w:tc>
        <w:tc>
          <w:tcPr>
            <w:tcW w:type="dxa" w:w="4176"/>
            <w:vAlign w:val="top"/>
            <w:tcMar>
              <w:top w:w="80" w:type="dxa"/>
              <w:start w:w="120" w:type="dxa"/>
              <w:bottom w:w="80" w:type="dxa"/>
              <w:end w:w="120" w:type="dxa"/>
            </w:tcMar>
            <w:shd w:fill="F6F5F7"/>
          </w:tcPr>
          <w:p>
            <w:pPr>
              <w:spacing w:after="40"/>
              <w:jc w:val="left"/>
            </w:pPr>
            <w:r>
              <w:rPr>
                <w:sz w:val="16"/>
              </w:rPr>
              <w:t>FHIR-like JSON, CSV/manual prototype adapters and a thin operational layer.</w:t>
            </w:r>
          </w:p>
        </w:tc>
      </w:tr>
      <w:tr>
        <w:trPr>
          <w:cantSplit/>
        </w:trPr>
        <w:tc>
          <w:tcPr>
            <w:tcW w:type="dxa" w:w="1800"/>
            <w:vAlign w:val="top"/>
            <w:tcMar>
              <w:top w:w="80" w:type="dxa"/>
              <w:start w:w="120" w:type="dxa"/>
              <w:bottom w:w="80" w:type="dxa"/>
              <w:end w:w="120" w:type="dxa"/>
            </w:tcMar>
          </w:tcPr>
          <w:p>
            <w:pPr>
              <w:spacing w:after="40"/>
              <w:jc w:val="left"/>
            </w:pPr>
            <w:r>
              <w:rPr>
                <w:sz w:val="16"/>
              </w:rPr>
              <w:t>Hospital leadership</w:t>
            </w:r>
          </w:p>
        </w:tc>
        <w:tc>
          <w:tcPr>
            <w:tcW w:type="dxa" w:w="3672"/>
            <w:vAlign w:val="top"/>
            <w:tcMar>
              <w:top w:w="80" w:type="dxa"/>
              <w:start w:w="120" w:type="dxa"/>
              <w:bottom w:w="80" w:type="dxa"/>
              <w:end w:w="120" w:type="dxa"/>
            </w:tcMar>
          </w:tcPr>
          <w:p>
            <w:pPr>
              <w:spacing w:after="40"/>
              <w:jc w:val="left"/>
            </w:pPr>
            <w:r>
              <w:rPr>
                <w:sz w:val="16"/>
              </w:rPr>
              <w:t>Evaluate operational value without unsupported ROI</w:t>
            </w:r>
          </w:p>
        </w:tc>
        <w:tc>
          <w:tcPr>
            <w:tcW w:type="dxa" w:w="4176"/>
            <w:vAlign w:val="top"/>
            <w:tcMar>
              <w:top w:w="80" w:type="dxa"/>
              <w:start w:w="120" w:type="dxa"/>
              <w:bottom w:w="80" w:type="dxa"/>
              <w:end w:w="120" w:type="dxa"/>
            </w:tcMar>
          </w:tcPr>
          <w:p>
            <w:pPr>
              <w:spacing w:after="40"/>
              <w:jc w:val="left"/>
            </w:pPr>
            <w:r>
              <w:rPr>
                <w:sz w:val="16"/>
              </w:rPr>
              <w:t>A staged pilot with baseline measures, go/no-go gates and attributable value levers.</w:t>
            </w:r>
          </w:p>
        </w:tc>
      </w:tr>
    </w:tbl>
    <w:p>
      <w:pPr>
        <w:spacing w:after="20"/>
      </w:pPr>
    </w:p>
    <w:p>
      <w:r>
        <w:br w:type="page"/>
      </w:r>
    </w:p>
    <w:p>
      <w:pPr>
        <w:pStyle w:val="Heading1"/>
        <w:keepNext/>
      </w:pPr>
      <w:r>
        <w:t>3. Solution design</w:t>
      </w:r>
    </w:p>
    <w:p>
      <w:pPr>
        <w:pStyle w:val="Subtitle"/>
        <w:spacing w:after="200"/>
      </w:pPr>
      <w:r>
        <w:t>From risk score to deadline-aware control loop</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11"/>
            <w:shd w:fill="52163E"/>
            <w:vAlign w:val="center"/>
            <w:tcMar>
              <w:top w:w="80" w:type="dxa"/>
              <w:start w:w="120" w:type="dxa"/>
              <w:bottom w:w="80" w:type="dxa"/>
              <w:end w:w="120" w:type="dxa"/>
            </w:tcMar>
          </w:tcPr>
          <w:p>
            <w:pPr>
              <w:jc w:val="left"/>
            </w:pPr>
            <w:r>
              <w:rPr>
                <w:b/>
                <w:color w:val="FFFFFF"/>
                <w:sz w:val="17"/>
              </w:rPr>
              <w:t>1  NEED → TIME</w:t>
            </w:r>
          </w:p>
        </w:tc>
        <w:tc>
          <w:tcPr>
            <w:tcW w:type="dxa" w:w="3211"/>
            <w:shd w:fill="52163E"/>
            <w:vAlign w:val="center"/>
            <w:tcMar>
              <w:top w:w="80" w:type="dxa"/>
              <w:start w:w="120" w:type="dxa"/>
              <w:bottom w:w="80" w:type="dxa"/>
              <w:end w:w="120" w:type="dxa"/>
            </w:tcMar>
          </w:tcPr>
          <w:p>
            <w:pPr>
              <w:jc w:val="left"/>
            </w:pPr>
            <w:r>
              <w:rPr>
                <w:b/>
                <w:color w:val="FFFFFF"/>
                <w:sz w:val="17"/>
              </w:rPr>
              <w:t>2  TIME → CAPACITY</w:t>
            </w:r>
          </w:p>
        </w:tc>
        <w:tc>
          <w:tcPr>
            <w:tcW w:type="dxa" w:w="3211"/>
            <w:shd w:fill="52163E"/>
            <w:vAlign w:val="center"/>
            <w:tcMar>
              <w:top w:w="80" w:type="dxa"/>
              <w:start w:w="120" w:type="dxa"/>
              <w:bottom w:w="80" w:type="dxa"/>
              <w:end w:w="120" w:type="dxa"/>
            </w:tcMar>
          </w:tcPr>
          <w:p>
            <w:pPr>
              <w:jc w:val="left"/>
            </w:pPr>
            <w:r>
              <w:rPr>
                <w:b/>
                <w:color w:val="FFFFFF"/>
                <w:sz w:val="17"/>
              </w:rPr>
              <w:t>3  CLINICIAN → ACTION</w:t>
            </w:r>
          </w:p>
        </w:tc>
      </w:tr>
      <w:tr>
        <w:trPr>
          <w:cantSplit/>
        </w:trPr>
        <w:tc>
          <w:tcPr>
            <w:tcW w:type="dxa" w:w="3211"/>
            <w:vAlign w:val="top"/>
            <w:tcMar>
              <w:top w:w="80" w:type="dxa"/>
              <w:start w:w="120" w:type="dxa"/>
              <w:bottom w:w="80" w:type="dxa"/>
              <w:end w:w="120" w:type="dxa"/>
            </w:tcMar>
          </w:tcPr>
          <w:p>
            <w:pPr>
              <w:spacing w:after="40"/>
              <w:jc w:val="left"/>
            </w:pPr>
            <w:r>
              <w:rPr>
                <w:sz w:val="16"/>
              </w:rPr>
              <w:t>Rules, trajectory, data quality and uncertainty produce a bounded Action Window.</w:t>
            </w:r>
          </w:p>
        </w:tc>
        <w:tc>
          <w:tcPr>
            <w:tcW w:type="dxa" w:w="3211"/>
            <w:vAlign w:val="top"/>
            <w:tcMar>
              <w:top w:w="80" w:type="dxa"/>
              <w:start w:w="120" w:type="dxa"/>
              <w:bottom w:w="80" w:type="dxa"/>
              <w:end w:w="120" w:type="dxa"/>
            </w:tcMar>
          </w:tcPr>
          <w:p>
            <w:pPr>
              <w:spacing w:after="40"/>
              <w:jc w:val="left"/>
            </w:pPr>
            <w:r>
              <w:rPr>
                <w:sz w:val="16"/>
              </w:rPr>
              <w:t>Queue Twin projects time to next action; Clinical Slack exposes feasibility.</w:t>
            </w:r>
          </w:p>
        </w:tc>
        <w:tc>
          <w:tcPr>
            <w:tcW w:type="dxa" w:w="3211"/>
            <w:vAlign w:val="top"/>
            <w:tcMar>
              <w:top w:w="80" w:type="dxa"/>
              <w:start w:w="120" w:type="dxa"/>
              <w:bottom w:w="80" w:type="dxa"/>
              <w:end w:w="120" w:type="dxa"/>
            </w:tcMar>
          </w:tcPr>
          <w:p>
            <w:pPr>
              <w:spacing w:after="40"/>
              <w:jc w:val="left"/>
            </w:pPr>
            <w:r>
              <w:rPr>
                <w:sz w:val="16"/>
              </w:rPr>
              <w:t>Nurse reviews the why, accepts/modifies/overrides and creates an auditable event.</w:t>
            </w:r>
          </w:p>
        </w:tc>
      </w:tr>
    </w:tbl>
    <w:p>
      <w:pPr>
        <w:spacing w:after="20"/>
      </w:pPr>
    </w:p>
    <w:p>
      <w:pPr>
        <w:pStyle w:val="Heading2"/>
        <w:keepNext/>
      </w:pPr>
      <w:r>
        <w:t>Core objects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088"/>
            <w:shd w:fill="52163E"/>
            <w:vAlign w:val="center"/>
            <w:tcMar>
              <w:top w:w="80" w:type="dxa"/>
              <w:start w:w="120" w:type="dxa"/>
              <w:bottom w:w="80" w:type="dxa"/>
              <w:end w:w="120" w:type="dxa"/>
            </w:tcMar>
          </w:tcPr>
          <w:p>
            <w:pPr>
              <w:jc w:val="left"/>
            </w:pPr>
            <w:r>
              <w:rPr>
                <w:b/>
                <w:color w:val="FFFFFF"/>
                <w:sz w:val="17"/>
              </w:rPr>
              <w:t>Object</w:t>
            </w:r>
          </w:p>
        </w:tc>
        <w:tc>
          <w:tcPr>
            <w:tcW w:type="dxa" w:w="4968"/>
            <w:shd w:fill="52163E"/>
            <w:vAlign w:val="center"/>
            <w:tcMar>
              <w:top w:w="80" w:type="dxa"/>
              <w:start w:w="120" w:type="dxa"/>
              <w:bottom w:w="80" w:type="dxa"/>
              <w:end w:w="120" w:type="dxa"/>
            </w:tcMar>
          </w:tcPr>
          <w:p>
            <w:pPr>
              <w:jc w:val="left"/>
            </w:pPr>
            <w:r>
              <w:rPr>
                <w:b/>
                <w:color w:val="FFFFFF"/>
                <w:sz w:val="17"/>
              </w:rPr>
              <w:t>Definition</w:t>
            </w:r>
          </w:p>
        </w:tc>
        <w:tc>
          <w:tcPr>
            <w:tcW w:type="dxa" w:w="2592"/>
            <w:shd w:fill="52163E"/>
            <w:vAlign w:val="center"/>
            <w:tcMar>
              <w:top w:w="80" w:type="dxa"/>
              <w:start w:w="120" w:type="dxa"/>
              <w:bottom w:w="80" w:type="dxa"/>
              <w:end w:w="120" w:type="dxa"/>
            </w:tcMar>
          </w:tcPr>
          <w:p>
            <w:pPr>
              <w:jc w:val="left"/>
            </w:pPr>
            <w:r>
              <w:rPr>
                <w:b/>
                <w:color w:val="FFFFFF"/>
                <w:sz w:val="17"/>
              </w:rPr>
              <w:t>Safety boundary</w:t>
            </w:r>
          </w:p>
        </w:tc>
      </w:tr>
      <w:tr>
        <w:trPr>
          <w:cantSplit/>
        </w:trPr>
        <w:tc>
          <w:tcPr>
            <w:tcW w:type="dxa" w:w="2088"/>
            <w:vAlign w:val="top"/>
            <w:tcMar>
              <w:top w:w="80" w:type="dxa"/>
              <w:start w:w="120" w:type="dxa"/>
              <w:bottom w:w="80" w:type="dxa"/>
              <w:end w:w="120" w:type="dxa"/>
            </w:tcMar>
          </w:tcPr>
          <w:p>
            <w:pPr>
              <w:spacing w:after="40"/>
              <w:jc w:val="left"/>
            </w:pPr>
            <w:r>
              <w:rPr>
                <w:sz w:val="16"/>
              </w:rPr>
              <w:t>Dynamic Action Window</w:t>
            </w:r>
          </w:p>
        </w:tc>
        <w:tc>
          <w:tcPr>
            <w:tcW w:type="dxa" w:w="4968"/>
            <w:vAlign w:val="top"/>
            <w:tcMar>
              <w:top w:w="80" w:type="dxa"/>
              <w:start w:w="120" w:type="dxa"/>
              <w:bottom w:w="80" w:type="dxa"/>
              <w:end w:w="120" w:type="dxa"/>
            </w:tcMar>
          </w:tcPr>
          <w:p>
            <w:pPr>
              <w:spacing w:after="40"/>
              <w:jc w:val="left"/>
            </w:pPr>
            <w:r>
              <w:rPr>
                <w:sz w:val="16"/>
              </w:rPr>
              <w:t>The recommended maximum time until the next assessment or clinical action, bounded by deterministic category/rule limits.</w:t>
            </w:r>
          </w:p>
        </w:tc>
        <w:tc>
          <w:tcPr>
            <w:tcW w:type="dxa" w:w="2592"/>
            <w:vAlign w:val="top"/>
            <w:tcMar>
              <w:top w:w="80" w:type="dxa"/>
              <w:start w:w="120" w:type="dxa"/>
              <w:bottom w:w="80" w:type="dxa"/>
              <w:end w:w="120" w:type="dxa"/>
            </w:tcMar>
          </w:tcPr>
          <w:p>
            <w:pPr>
              <w:spacing w:after="40"/>
              <w:jc w:val="left"/>
            </w:pPr>
            <w:r>
              <w:rPr>
                <w:sz w:val="16"/>
              </w:rPr>
              <w:t>Never described as ‘safe until’; red flags can force immediate action.</w:t>
            </w:r>
          </w:p>
        </w:tc>
      </w:tr>
      <w:tr>
        <w:trPr>
          <w:cantSplit/>
        </w:trPr>
        <w:tc>
          <w:tcPr>
            <w:tcW w:type="dxa" w:w="2088"/>
            <w:vAlign w:val="top"/>
            <w:tcMar>
              <w:top w:w="80" w:type="dxa"/>
              <w:start w:w="120" w:type="dxa"/>
              <w:bottom w:w="80" w:type="dxa"/>
              <w:end w:w="120" w:type="dxa"/>
            </w:tcMar>
            <w:shd w:fill="F6F5F7"/>
          </w:tcPr>
          <w:p>
            <w:pPr>
              <w:spacing w:after="40"/>
              <w:jc w:val="left"/>
            </w:pPr>
            <w:r>
              <w:rPr>
                <w:sz w:val="16"/>
              </w:rPr>
              <w:t>Clinical Slack</w:t>
            </w:r>
          </w:p>
        </w:tc>
        <w:tc>
          <w:tcPr>
            <w:tcW w:type="dxa" w:w="4968"/>
            <w:vAlign w:val="top"/>
            <w:tcMar>
              <w:top w:w="80" w:type="dxa"/>
              <w:start w:w="120" w:type="dxa"/>
              <w:bottom w:w="80" w:type="dxa"/>
              <w:end w:w="120" w:type="dxa"/>
            </w:tcMar>
            <w:shd w:fill="F6F5F7"/>
          </w:tcPr>
          <w:p>
            <w:pPr>
              <w:spacing w:after="40"/>
              <w:jc w:val="left"/>
            </w:pPr>
            <w:r>
              <w:rPr>
                <w:sz w:val="16"/>
              </w:rPr>
              <w:t>Action Window minus predicted time to action.</w:t>
            </w:r>
          </w:p>
        </w:tc>
        <w:tc>
          <w:tcPr>
            <w:tcW w:type="dxa" w:w="2592"/>
            <w:vAlign w:val="top"/>
            <w:tcMar>
              <w:top w:w="80" w:type="dxa"/>
              <w:start w:w="120" w:type="dxa"/>
              <w:bottom w:w="80" w:type="dxa"/>
              <w:end w:w="120" w:type="dxa"/>
            </w:tcMar>
            <w:shd w:fill="F6F5F7"/>
          </w:tcPr>
          <w:p>
            <w:pPr>
              <w:spacing w:after="40"/>
              <w:jc w:val="left"/>
            </w:pPr>
            <w:r>
              <w:rPr>
                <w:sz w:val="16"/>
              </w:rPr>
              <w:t>A negative value exposes a capacity conflict; queue optimization cannot relax clinical need.</w:t>
            </w:r>
          </w:p>
        </w:tc>
      </w:tr>
      <w:tr>
        <w:trPr>
          <w:cantSplit/>
        </w:trPr>
        <w:tc>
          <w:tcPr>
            <w:tcW w:type="dxa" w:w="2088"/>
            <w:vAlign w:val="top"/>
            <w:tcMar>
              <w:top w:w="80" w:type="dxa"/>
              <w:start w:w="120" w:type="dxa"/>
              <w:bottom w:w="80" w:type="dxa"/>
              <w:end w:w="120" w:type="dxa"/>
            </w:tcMar>
          </w:tcPr>
          <w:p>
            <w:pPr>
              <w:spacing w:after="40"/>
              <w:jc w:val="left"/>
            </w:pPr>
            <w:r>
              <w:rPr>
                <w:sz w:val="16"/>
              </w:rPr>
              <w:t>Safe Mode</w:t>
            </w:r>
          </w:p>
        </w:tc>
        <w:tc>
          <w:tcPr>
            <w:tcW w:type="dxa" w:w="4968"/>
            <w:vAlign w:val="top"/>
            <w:tcMar>
              <w:top w:w="80" w:type="dxa"/>
              <w:start w:w="120" w:type="dxa"/>
              <w:bottom w:w="80" w:type="dxa"/>
              <w:end w:w="120" w:type="dxa"/>
            </w:tcMar>
          </w:tcPr>
          <w:p>
            <w:pPr>
              <w:spacing w:after="40"/>
              <w:jc w:val="left"/>
            </w:pPr>
            <w:r>
              <w:rPr>
                <w:sz w:val="16"/>
              </w:rPr>
              <w:t>A conservative state for missing, stale, implausible, OOD or ambiguous inputs.</w:t>
            </w:r>
          </w:p>
        </w:tc>
        <w:tc>
          <w:tcPr>
            <w:tcW w:type="dxa" w:w="2592"/>
            <w:vAlign w:val="top"/>
            <w:tcMar>
              <w:top w:w="80" w:type="dxa"/>
              <w:start w:w="120" w:type="dxa"/>
              <w:bottom w:w="80" w:type="dxa"/>
              <w:end w:w="120" w:type="dxa"/>
            </w:tcMar>
          </w:tcPr>
          <w:p>
            <w:pPr>
              <w:spacing w:after="40"/>
              <w:jc w:val="left"/>
            </w:pPr>
            <w:r>
              <w:rPr>
                <w:sz w:val="16"/>
              </w:rPr>
              <w:t>Preserves or raises priority and requests review; the model cannot autonomously downgrade.</w:t>
            </w:r>
          </w:p>
        </w:tc>
      </w:tr>
      <w:tr>
        <w:trPr>
          <w:cantSplit/>
        </w:trPr>
        <w:tc>
          <w:tcPr>
            <w:tcW w:type="dxa" w:w="2088"/>
            <w:vAlign w:val="top"/>
            <w:tcMar>
              <w:top w:w="80" w:type="dxa"/>
              <w:start w:w="120" w:type="dxa"/>
              <w:bottom w:w="80" w:type="dxa"/>
              <w:end w:w="120" w:type="dxa"/>
            </w:tcMar>
            <w:shd w:fill="F6F5F7"/>
          </w:tcPr>
          <w:p>
            <w:pPr>
              <w:spacing w:after="40"/>
              <w:jc w:val="left"/>
            </w:pPr>
            <w:r>
              <w:rPr>
                <w:sz w:val="16"/>
              </w:rPr>
              <w:t>Next Best Observation</w:t>
            </w:r>
          </w:p>
        </w:tc>
        <w:tc>
          <w:tcPr>
            <w:tcW w:type="dxa" w:w="4968"/>
            <w:vAlign w:val="top"/>
            <w:tcMar>
              <w:top w:w="80" w:type="dxa"/>
              <w:start w:w="120" w:type="dxa"/>
              <w:bottom w:w="80" w:type="dxa"/>
              <w:end w:w="120" w:type="dxa"/>
            </w:tcMar>
            <w:shd w:fill="F6F5F7"/>
          </w:tcPr>
          <w:p>
            <w:pPr>
              <w:spacing w:after="40"/>
              <w:jc w:val="left"/>
            </w:pPr>
            <w:r>
              <w:rPr>
                <w:sz w:val="16"/>
              </w:rPr>
              <w:t>A first measurement likely to reduce decision uncertainty.</w:t>
            </w:r>
          </w:p>
        </w:tc>
        <w:tc>
          <w:tcPr>
            <w:tcW w:type="dxa" w:w="2592"/>
            <w:vAlign w:val="top"/>
            <w:tcMar>
              <w:top w:w="80" w:type="dxa"/>
              <w:start w:w="120" w:type="dxa"/>
              <w:bottom w:w="80" w:type="dxa"/>
              <w:end w:w="120" w:type="dxa"/>
            </w:tcMar>
            <w:shd w:fill="F6F5F7"/>
          </w:tcPr>
          <w:p>
            <w:pPr>
              <w:spacing w:after="40"/>
              <w:jc w:val="left"/>
            </w:pPr>
            <w:r>
              <w:rPr>
                <w:sz w:val="16"/>
              </w:rPr>
              <w:t>Not a substitute for reassessment; the single-observation gate failed.</w:t>
            </w:r>
          </w:p>
        </w:tc>
      </w:tr>
      <w:tr>
        <w:trPr>
          <w:cantSplit/>
        </w:trPr>
        <w:tc>
          <w:tcPr>
            <w:tcW w:type="dxa" w:w="2088"/>
            <w:vAlign w:val="top"/>
            <w:tcMar>
              <w:top w:w="80" w:type="dxa"/>
              <w:start w:w="120" w:type="dxa"/>
              <w:bottom w:w="80" w:type="dxa"/>
              <w:end w:w="120" w:type="dxa"/>
            </w:tcMar>
          </w:tcPr>
          <w:p>
            <w:pPr>
              <w:spacing w:after="40"/>
              <w:jc w:val="left"/>
            </w:pPr>
            <w:r>
              <w:rPr>
                <w:sz w:val="16"/>
              </w:rPr>
              <w:t>Decision receipt</w:t>
            </w:r>
          </w:p>
        </w:tc>
        <w:tc>
          <w:tcPr>
            <w:tcW w:type="dxa" w:w="4968"/>
            <w:vAlign w:val="top"/>
            <w:tcMar>
              <w:top w:w="80" w:type="dxa"/>
              <w:start w:w="120" w:type="dxa"/>
              <w:bottom w:w="80" w:type="dxa"/>
              <w:end w:w="120" w:type="dxa"/>
            </w:tcMar>
          </w:tcPr>
          <w:p>
            <w:pPr>
              <w:spacing w:after="40"/>
              <w:jc w:val="left"/>
            </w:pPr>
            <w:r>
              <w:rPr>
                <w:sz w:val="16"/>
              </w:rPr>
              <w:t>Recommendation, actor, reason and resulting state linked to an event hash chain.</w:t>
            </w:r>
          </w:p>
        </w:tc>
        <w:tc>
          <w:tcPr>
            <w:tcW w:type="dxa" w:w="2592"/>
            <w:vAlign w:val="top"/>
            <w:tcMar>
              <w:top w:w="80" w:type="dxa"/>
              <w:start w:w="120" w:type="dxa"/>
              <w:bottom w:w="80" w:type="dxa"/>
              <w:end w:w="120" w:type="dxa"/>
            </w:tcMar>
          </w:tcPr>
          <w:p>
            <w:pPr>
              <w:spacing w:after="40"/>
              <w:jc w:val="left"/>
            </w:pPr>
            <w:r>
              <w:rPr>
                <w:sz w:val="16"/>
              </w:rPr>
              <w:t>Tamper-evident prototype control, not a claim of production immutability.</w:t>
            </w:r>
          </w:p>
        </w:tc>
      </w:tr>
    </w:tbl>
    <w:p>
      <w:pPr>
        <w:spacing w:after="20"/>
      </w:pPr>
    </w:p>
    <w:p>
      <w:pPr>
        <w:pStyle w:val="Heading2"/>
        <w:keepNext/>
      </w:pPr>
      <w:r>
        <w:t>Why this is distinct</w:t>
      </w:r>
    </w:p>
    <w:p>
      <w:pPr>
        <w:keepLines/>
      </w:pPr>
      <w:r>
        <w:t>The contribution is not a claim to have invented AI triage, queues, conformal prediction or active acquisition. The distinction is their safety-oriented recomposition into one waiting-room operating loop.</w:t>
      </w:r>
    </w:p>
    <w:p>
      <w:pPr>
        <w:pStyle w:val="ListBullet"/>
        <w:spacing w:after="60"/>
        <w:ind w:left="490" w:hanging="230"/>
        <w:keepLines/>
      </w:pPr>
      <w:r>
        <w:t>Predictive-maintenance idea: translate changing condition into time remaining to intervention.</w:t>
      </w:r>
    </w:p>
    <w:p>
      <w:pPr>
        <w:pStyle w:val="ListBullet"/>
        <w:spacing w:after="60"/>
        <w:ind w:left="490" w:hanging="230"/>
        <w:keepLines/>
      </w:pPr>
      <w:r>
        <w:t>Real-time scheduling idea: rank by deadline and laxity, while exposing infeasible demand rather than hiding it.</w:t>
      </w:r>
    </w:p>
    <w:p>
      <w:pPr>
        <w:pStyle w:val="ListBullet"/>
        <w:spacing w:after="60"/>
        <w:ind w:left="490" w:hanging="230"/>
        <w:keepLines/>
      </w:pPr>
      <w:r>
        <w:t>Active-acquisition idea: ask for the most decision-useful first observation when uncertainty matters.</w:t>
      </w:r>
    </w:p>
    <w:p>
      <w:pPr>
        <w:pStyle w:val="ListBullet"/>
        <w:spacing w:after="60"/>
        <w:ind w:left="490" w:hanging="230"/>
        <w:keepLines/>
      </w:pPr>
      <w:r>
        <w:t>Clinical safety constraints: age-aware rules first, conformal/OOD uncertainty, no autonomous downgrade and clinician authority.</w:t>
      </w:r>
    </w:p>
    <w:p>
      <w:r>
        <w:br w:type="page"/>
      </w:r>
    </w:p>
    <w:p>
      <w:pPr>
        <w:pStyle w:val="Heading1"/>
        <w:keepNext/>
      </w:pPr>
      <w:r>
        <w:t>4. Working product</w:t>
      </w:r>
    </w:p>
    <w:p>
      <w:pPr>
        <w:pStyle w:val="Subtitle"/>
        <w:spacing w:after="200"/>
      </w:pPr>
      <w:r>
        <w:t>A calm clinical instrument, not a generic AI dashboard</w:t>
      </w:r>
    </w:p>
    <w:p>
      <w:r>
        <w:drawing>
          <wp:inline xmlns:a="http://schemas.openxmlformats.org/drawingml/2006/main" xmlns:pic="http://schemas.openxmlformats.org/drawingml/2006/picture">
            <wp:extent cx="6172200" cy="3471862"/>
            <wp:docPr id="1" name="Picture 1" descr="TriageLoop clinical deadline board after a synthetic deterioration event" title="TriageLoop Deadline Board"/>
            <wp:cNvGraphicFramePr>
              <a:graphicFrameLocks noChangeAspect="1"/>
            </wp:cNvGraphicFramePr>
            <a:graphic>
              <a:graphicData uri="http://schemas.openxmlformats.org/drawingml/2006/picture">
                <pic:pic>
                  <pic:nvPicPr>
                    <pic:cNvPr id="0" name="tl-04-deadline-board.png"/>
                    <pic:cNvPicPr/>
                  </pic:nvPicPr>
                  <pic:blipFill>
                    <a:blip r:embed="rId11"/>
                    <a:stretch>
                      <a:fillRect/>
                    </a:stretch>
                  </pic:blipFill>
                  <pic:spPr>
                    <a:xfrm>
                      <a:off x="0" y="0"/>
                      <a:ext cx="6172200" cy="3471862"/>
                    </a:xfrm>
                    <a:prstGeom prst="rect"/>
                  </pic:spPr>
                </pic:pic>
              </a:graphicData>
            </a:graphic>
          </wp:inline>
        </w:drawing>
      </w:r>
    </w:p>
    <w:p>
      <w:pPr>
        <w:pStyle w:val="CaptionSmall"/>
        <w:jc w:val="center"/>
      </w:pPr>
      <w:r>
        <w:t>Working Deadline Board after a deterministic deterioration event: P-0009 moves to queue position 2 with an immediate Action Window, ETA of 8 minutes and Clinical Slack of −8 minutes. Synthetic prototype data.</w:t>
      </w:r>
    </w:p>
    <w:p>
      <w:pPr>
        <w:pStyle w:val="Heading2"/>
        <w:keepNext/>
      </w:pPr>
      <w:r>
        <w:t>Designed for seconds, not exploration</w:t>
      </w:r>
    </w:p>
    <w:p>
      <w:pPr>
        <w:pStyle w:val="ListBullet"/>
        <w:spacing w:after="60"/>
        <w:ind w:left="490" w:hanging="230"/>
        <w:keepLines/>
      </w:pPr>
      <w:r>
        <w:t>Deadline before score: the action, latest recommended time and Clinical Slack lead; probabilities support the decision.</w:t>
      </w:r>
    </w:p>
    <w:p>
      <w:pPr>
        <w:pStyle w:val="ListBullet"/>
        <w:spacing w:after="60"/>
        <w:ind w:left="490" w:hanging="230"/>
        <w:keepLines/>
      </w:pPr>
      <w:r>
        <w:t>One patient, one consolidated signal: rules, trajectory, uncertainty and capacity are combined instead of creating multiple alerts.</w:t>
      </w:r>
    </w:p>
    <w:p>
      <w:pPr>
        <w:pStyle w:val="ListBullet"/>
        <w:spacing w:after="60"/>
        <w:ind w:left="490" w:hanging="230"/>
        <w:keepLines/>
      </w:pPr>
      <w:r>
        <w:t>Capacity truth remains visible: re-ranking never implies that insufficient capacity has become safe.</w:t>
      </w:r>
    </w:p>
    <w:p>
      <w:pPr>
        <w:pStyle w:val="ListBullet"/>
        <w:spacing w:after="60"/>
        <w:ind w:left="490" w:hanging="230"/>
        <w:keepLines/>
      </w:pPr>
      <w:r>
        <w:t>Explanation in the workflow: what changed, reliability, reasons, uncertainty and first observation sit beside the decision.</w:t>
      </w:r>
    </w:p>
    <w:p>
      <w:pPr>
        <w:pStyle w:val="ListBullet"/>
        <w:spacing w:after="60"/>
        <w:ind w:left="490" w:hanging="230"/>
        <w:keepLines/>
      </w:pPr>
      <w:r>
        <w:t>Human authority is a first-class state: accept, modify and override are explicit, reasoned and auditable.</w:t>
      </w:r>
    </w:p>
    <w:p>
      <w:r>
        <w:br w:type="page"/>
      </w:r>
    </w:p>
    <w:p>
      <w:pPr>
        <w:pStyle w:val="Heading1"/>
        <w:keepNext/>
      </w:pPr>
      <w:r>
        <w:t>4A. Hero journey</w:t>
      </w:r>
    </w:p>
    <w:p>
      <w:pPr>
        <w:pStyle w:val="Subtitle"/>
        <w:spacing w:after="200"/>
      </w:pPr>
      <w:r>
        <w:t>One deterioration event makes the operating model concrete</w:t>
      </w:r>
    </w:p>
    <w:p>
      <w:pPr>
        <w:keepLines/>
      </w:pPr>
      <w:r>
        <w:t>A waiting patient’s oxygen saturation falls to 88%, respiratory rate rises to 37 and heart rate rises. Deterministic red-flag logic runs first. The system recomputes the recommendation and live queue, moves the patient to position two, sets the Action Window to ‘now’ and shows that the projected eight-minute response produces −8 minutes of Slack. The clinician sees the reason, acts and records the decision.</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800"/>
            <w:shd w:fill="52163E"/>
            <w:vAlign w:val="center"/>
            <w:tcMar>
              <w:top w:w="80" w:type="dxa"/>
              <w:start w:w="120" w:type="dxa"/>
              <w:bottom w:w="80" w:type="dxa"/>
              <w:end w:w="120" w:type="dxa"/>
            </w:tcMar>
          </w:tcPr>
          <w:p>
            <w:pPr>
              <w:jc w:val="left"/>
            </w:pPr>
            <w:r>
              <w:rPr>
                <w:b/>
                <w:color w:val="FFFFFF"/>
                <w:sz w:val="17"/>
              </w:rPr>
              <w:t>Moment</w:t>
            </w:r>
          </w:p>
        </w:tc>
        <w:tc>
          <w:tcPr>
            <w:tcW w:type="dxa" w:w="4608"/>
            <w:shd w:fill="52163E"/>
            <w:vAlign w:val="center"/>
            <w:tcMar>
              <w:top w:w="80" w:type="dxa"/>
              <w:start w:w="120" w:type="dxa"/>
              <w:bottom w:w="80" w:type="dxa"/>
              <w:end w:w="120" w:type="dxa"/>
            </w:tcMar>
          </w:tcPr>
          <w:p>
            <w:pPr>
              <w:jc w:val="left"/>
            </w:pPr>
            <w:r>
              <w:rPr>
                <w:b/>
                <w:color w:val="FFFFFF"/>
                <w:sz w:val="17"/>
              </w:rPr>
              <w:t>What TriageLoop computes</w:t>
            </w:r>
          </w:p>
        </w:tc>
        <w:tc>
          <w:tcPr>
            <w:tcW w:type="dxa" w:w="3240"/>
            <w:shd w:fill="52163E"/>
            <w:vAlign w:val="center"/>
            <w:tcMar>
              <w:top w:w="80" w:type="dxa"/>
              <w:start w:w="120" w:type="dxa"/>
              <w:bottom w:w="80" w:type="dxa"/>
              <w:end w:w="120" w:type="dxa"/>
            </w:tcMar>
          </w:tcPr>
          <w:p>
            <w:pPr>
              <w:jc w:val="left"/>
            </w:pPr>
            <w:r>
              <w:rPr>
                <w:b/>
                <w:color w:val="FFFFFF"/>
                <w:sz w:val="17"/>
              </w:rPr>
              <w:t>What becomes visible</w:t>
            </w:r>
          </w:p>
        </w:tc>
      </w:tr>
      <w:tr>
        <w:trPr>
          <w:cantSplit/>
        </w:trPr>
        <w:tc>
          <w:tcPr>
            <w:tcW w:type="dxa" w:w="1800"/>
            <w:vAlign w:val="top"/>
            <w:tcMar>
              <w:top w:w="80" w:type="dxa"/>
              <w:start w:w="120" w:type="dxa"/>
              <w:bottom w:w="80" w:type="dxa"/>
              <w:end w:w="120" w:type="dxa"/>
            </w:tcMar>
          </w:tcPr>
          <w:p>
            <w:pPr>
              <w:spacing w:after="40"/>
              <w:jc w:val="left"/>
            </w:pPr>
            <w:r>
              <w:rPr>
                <w:sz w:val="16"/>
              </w:rPr>
              <w:t>Baseline</w:t>
            </w:r>
          </w:p>
        </w:tc>
        <w:tc>
          <w:tcPr>
            <w:tcW w:type="dxa" w:w="4608"/>
            <w:vAlign w:val="top"/>
            <w:tcMar>
              <w:top w:w="80" w:type="dxa"/>
              <w:start w:w="120" w:type="dxa"/>
              <w:bottom w:w="80" w:type="dxa"/>
              <w:end w:w="120" w:type="dxa"/>
            </w:tcMar>
          </w:tcPr>
          <w:p>
            <w:pPr>
              <w:spacing w:after="40"/>
              <w:jc w:val="left"/>
            </w:pPr>
            <w:r>
              <w:rPr>
                <w:sz w:val="16"/>
              </w:rPr>
              <w:t>Current level, trajectory, Action Window, Queue Twin ETA</w:t>
            </w:r>
          </w:p>
        </w:tc>
        <w:tc>
          <w:tcPr>
            <w:tcW w:type="dxa" w:w="3240"/>
            <w:vAlign w:val="top"/>
            <w:tcMar>
              <w:top w:w="80" w:type="dxa"/>
              <w:start w:w="120" w:type="dxa"/>
              <w:bottom w:w="80" w:type="dxa"/>
              <w:end w:w="120" w:type="dxa"/>
            </w:tcMar>
          </w:tcPr>
          <w:p>
            <w:pPr>
              <w:spacing w:after="40"/>
              <w:jc w:val="left"/>
            </w:pPr>
            <w:r>
              <w:rPr>
                <w:sz w:val="16"/>
              </w:rPr>
              <w:t>P-0009 is waiting with positive Slack.</w:t>
            </w:r>
          </w:p>
        </w:tc>
      </w:tr>
      <w:tr>
        <w:trPr>
          <w:cantSplit/>
        </w:trPr>
        <w:tc>
          <w:tcPr>
            <w:tcW w:type="dxa" w:w="1800"/>
            <w:vAlign w:val="top"/>
            <w:tcMar>
              <w:top w:w="80" w:type="dxa"/>
              <w:start w:w="120" w:type="dxa"/>
              <w:bottom w:w="80" w:type="dxa"/>
              <w:end w:w="120" w:type="dxa"/>
            </w:tcMar>
            <w:shd w:fill="F6F5F7"/>
          </w:tcPr>
          <w:p>
            <w:pPr>
              <w:spacing w:after="40"/>
              <w:jc w:val="left"/>
            </w:pPr>
            <w:r>
              <w:rPr>
                <w:sz w:val="16"/>
              </w:rPr>
              <w:t>Observation arrives</w:t>
            </w:r>
          </w:p>
        </w:tc>
        <w:tc>
          <w:tcPr>
            <w:tcW w:type="dxa" w:w="4608"/>
            <w:vAlign w:val="top"/>
            <w:tcMar>
              <w:top w:w="80" w:type="dxa"/>
              <w:start w:w="120" w:type="dxa"/>
              <w:bottom w:w="80" w:type="dxa"/>
              <w:end w:w="120" w:type="dxa"/>
            </w:tcMar>
            <w:shd w:fill="F6F5F7"/>
          </w:tcPr>
          <w:p>
            <w:pPr>
              <w:spacing w:after="40"/>
              <w:jc w:val="left"/>
            </w:pPr>
            <w:r>
              <w:rPr>
                <w:sz w:val="16"/>
              </w:rPr>
              <w:t>Freshness, plausibility and age-aware rules run before the model</w:t>
            </w:r>
          </w:p>
        </w:tc>
        <w:tc>
          <w:tcPr>
            <w:tcW w:type="dxa" w:w="3240"/>
            <w:vAlign w:val="top"/>
            <w:tcMar>
              <w:top w:w="80" w:type="dxa"/>
              <w:start w:w="120" w:type="dxa"/>
              <w:bottom w:w="80" w:type="dxa"/>
              <w:end w:w="120" w:type="dxa"/>
            </w:tcMar>
            <w:shd w:fill="F6F5F7"/>
          </w:tcPr>
          <w:p>
            <w:pPr>
              <w:spacing w:after="40"/>
              <w:jc w:val="left"/>
            </w:pPr>
            <w:r>
              <w:rPr>
                <w:sz w:val="16"/>
              </w:rPr>
              <w:t>SpO₂ 88%, RR 37 and rising heart rate are named as the change.</w:t>
            </w:r>
          </w:p>
        </w:tc>
      </w:tr>
      <w:tr>
        <w:trPr>
          <w:cantSplit/>
        </w:trPr>
        <w:tc>
          <w:tcPr>
            <w:tcW w:type="dxa" w:w="1800"/>
            <w:vAlign w:val="top"/>
            <w:tcMar>
              <w:top w:w="80" w:type="dxa"/>
              <w:start w:w="120" w:type="dxa"/>
              <w:bottom w:w="80" w:type="dxa"/>
              <w:end w:w="120" w:type="dxa"/>
            </w:tcMar>
          </w:tcPr>
          <w:p>
            <w:pPr>
              <w:spacing w:after="40"/>
              <w:jc w:val="left"/>
            </w:pPr>
            <w:r>
              <w:rPr>
                <w:sz w:val="16"/>
              </w:rPr>
              <w:t>Deadline recomputes</w:t>
            </w:r>
          </w:p>
        </w:tc>
        <w:tc>
          <w:tcPr>
            <w:tcW w:type="dxa" w:w="4608"/>
            <w:vAlign w:val="top"/>
            <w:tcMar>
              <w:top w:w="80" w:type="dxa"/>
              <w:start w:w="120" w:type="dxa"/>
              <w:bottom w:w="80" w:type="dxa"/>
              <w:end w:w="120" w:type="dxa"/>
            </w:tcMar>
          </w:tcPr>
          <w:p>
            <w:pPr>
              <w:spacing w:after="40"/>
              <w:jc w:val="left"/>
            </w:pPr>
            <w:r>
              <w:rPr>
                <w:sz w:val="16"/>
              </w:rPr>
              <w:t>Hard-rule constraint produces an immediate Action Window</w:t>
            </w:r>
          </w:p>
        </w:tc>
        <w:tc>
          <w:tcPr>
            <w:tcW w:type="dxa" w:w="3240"/>
            <w:vAlign w:val="top"/>
            <w:tcMar>
              <w:top w:w="80" w:type="dxa"/>
              <w:start w:w="120" w:type="dxa"/>
              <w:bottom w:w="80" w:type="dxa"/>
              <w:end w:w="120" w:type="dxa"/>
            </w:tcMar>
          </w:tcPr>
          <w:p>
            <w:pPr>
              <w:spacing w:after="40"/>
              <w:jc w:val="left"/>
            </w:pPr>
            <w:r>
              <w:rPr>
                <w:sz w:val="16"/>
              </w:rPr>
              <w:t>The patient moves to queue position two; the recommendation says act now.</w:t>
            </w:r>
          </w:p>
        </w:tc>
      </w:tr>
      <w:tr>
        <w:trPr>
          <w:cantSplit/>
        </w:trPr>
        <w:tc>
          <w:tcPr>
            <w:tcW w:type="dxa" w:w="1800"/>
            <w:vAlign w:val="top"/>
            <w:tcMar>
              <w:top w:w="80" w:type="dxa"/>
              <w:start w:w="120" w:type="dxa"/>
              <w:bottom w:w="80" w:type="dxa"/>
              <w:end w:w="120" w:type="dxa"/>
            </w:tcMar>
            <w:shd w:fill="F6F5F7"/>
          </w:tcPr>
          <w:p>
            <w:pPr>
              <w:spacing w:after="40"/>
              <w:jc w:val="left"/>
            </w:pPr>
            <w:r>
              <w:rPr>
                <w:sz w:val="16"/>
              </w:rPr>
              <w:t>Capacity is tested</w:t>
            </w:r>
          </w:p>
        </w:tc>
        <w:tc>
          <w:tcPr>
            <w:tcW w:type="dxa" w:w="4608"/>
            <w:vAlign w:val="top"/>
            <w:tcMar>
              <w:top w:w="80" w:type="dxa"/>
              <w:start w:w="120" w:type="dxa"/>
              <w:bottom w:w="80" w:type="dxa"/>
              <w:end w:w="120" w:type="dxa"/>
            </w:tcMar>
            <w:shd w:fill="F6F5F7"/>
          </w:tcPr>
          <w:p>
            <w:pPr>
              <w:spacing w:after="40"/>
              <w:jc w:val="left"/>
            </w:pPr>
            <w:r>
              <w:rPr>
                <w:sz w:val="16"/>
              </w:rPr>
              <w:t>Queue Twin projects an eight-minute response</w:t>
            </w:r>
          </w:p>
        </w:tc>
        <w:tc>
          <w:tcPr>
            <w:tcW w:type="dxa" w:w="3240"/>
            <w:vAlign w:val="top"/>
            <w:tcMar>
              <w:top w:w="80" w:type="dxa"/>
              <w:start w:w="120" w:type="dxa"/>
              <w:bottom w:w="80" w:type="dxa"/>
              <w:end w:w="120" w:type="dxa"/>
            </w:tcMar>
            <w:shd w:fill="F6F5F7"/>
          </w:tcPr>
          <w:p>
            <w:pPr>
              <w:spacing w:after="40"/>
              <w:jc w:val="left"/>
            </w:pPr>
            <w:r>
              <w:rPr>
                <w:sz w:val="16"/>
              </w:rPr>
              <w:t>Clinical Slack becomes −8 minutes and is labeled a capacity conflict.</w:t>
            </w:r>
          </w:p>
        </w:tc>
      </w:tr>
      <w:tr>
        <w:trPr>
          <w:cantSplit/>
        </w:trPr>
        <w:tc>
          <w:tcPr>
            <w:tcW w:type="dxa" w:w="1800"/>
            <w:vAlign w:val="top"/>
            <w:tcMar>
              <w:top w:w="80" w:type="dxa"/>
              <w:start w:w="120" w:type="dxa"/>
              <w:bottom w:w="80" w:type="dxa"/>
              <w:end w:w="120" w:type="dxa"/>
            </w:tcMar>
          </w:tcPr>
          <w:p>
            <w:pPr>
              <w:spacing w:after="40"/>
              <w:jc w:val="left"/>
            </w:pPr>
            <w:r>
              <w:rPr>
                <w:sz w:val="16"/>
              </w:rPr>
              <w:t>Clinician responds</w:t>
            </w:r>
          </w:p>
        </w:tc>
        <w:tc>
          <w:tcPr>
            <w:tcW w:type="dxa" w:w="4608"/>
            <w:vAlign w:val="top"/>
            <w:tcMar>
              <w:top w:w="80" w:type="dxa"/>
              <w:start w:w="120" w:type="dxa"/>
              <w:bottom w:w="80" w:type="dxa"/>
              <w:end w:w="120" w:type="dxa"/>
            </w:tcMar>
          </w:tcPr>
          <w:p>
            <w:pPr>
              <w:spacing w:after="40"/>
              <w:jc w:val="left"/>
            </w:pPr>
            <w:r>
              <w:rPr>
                <w:sz w:val="16"/>
              </w:rPr>
              <w:t>Accept / modify / override is linked to the exact recommendation</w:t>
            </w:r>
          </w:p>
        </w:tc>
        <w:tc>
          <w:tcPr>
            <w:tcW w:type="dxa" w:w="3240"/>
            <w:vAlign w:val="top"/>
            <w:tcMar>
              <w:top w:w="80" w:type="dxa"/>
              <w:start w:w="120" w:type="dxa"/>
              <w:bottom w:w="80" w:type="dxa"/>
              <w:end w:w="120" w:type="dxa"/>
            </w:tcMar>
          </w:tcPr>
          <w:p>
            <w:pPr>
              <w:spacing w:after="40"/>
              <w:jc w:val="left"/>
            </w:pPr>
            <w:r>
              <w:rPr>
                <w:sz w:val="16"/>
              </w:rPr>
              <w:t>A reasoned decision receipt and audit event close the loop.</w:t>
            </w:r>
          </w:p>
        </w:tc>
      </w:tr>
    </w:tbl>
    <w:p>
      <w:pPr>
        <w:spacing w:after="20"/>
      </w:pPr>
    </w:p>
    <w:p>
      <w:pPr>
        <w:spacing w:before="100" w:after="160" w:line="269" w:lineRule="auto"/>
        <w:ind w:left="115" w:right="115"/>
        <w:shd w:fill="FEECEB"/>
        <w:jc w:val="left"/>
        <w:keepLines/>
      </w:pPr>
      <w:r>
        <w:rPr>
          <w:b/>
          <w:color w:val="B42318"/>
        </w:rPr>
        <w:t xml:space="preserve">What the system refuses to do  </w:t>
      </w:r>
      <w:r>
        <w:t>It does not describe the patient as safe, silently move the clinical deadline because the queue is busy, or act without a clinician.</w:t>
      </w:r>
    </w:p>
    <w:p>
      <w:r>
        <w:br w:type="page"/>
      </w:r>
    </w:p>
    <w:p>
      <w:pPr>
        <w:pStyle w:val="Heading1"/>
        <w:keepNext/>
      </w:pPr>
      <w:r>
        <w:t>4B. Product evidence appendix</w:t>
      </w:r>
    </w:p>
    <w:p>
      <w:pPr>
        <w:pStyle w:val="Subtitle"/>
        <w:spacing w:after="200"/>
      </w:pPr>
      <w:r>
        <w:t>The safety, governance and capacity surfaces are implemented—not paper promises</w:t>
      </w:r>
    </w:p>
    <w:p>
      <w:pPr>
        <w:jc w:val="center"/>
      </w:pPr>
      <w:r>
        <w:drawing>
          <wp:inline xmlns:a="http://schemas.openxmlformats.org/drawingml/2006/main" xmlns:pic="http://schemas.openxmlformats.org/drawingml/2006/picture">
            <wp:extent cx="2834640" cy="1594485"/>
            <wp:docPr id="2" name="Picture 2" descr="TriageLoop prototype: Reasoned clinician override" title="Reasoned clinician override"/>
            <wp:cNvGraphicFramePr>
              <a:graphicFrameLocks noChangeAspect="1"/>
            </wp:cNvGraphicFramePr>
            <a:graphic>
              <a:graphicData uri="http://schemas.openxmlformats.org/drawingml/2006/picture">
                <pic:pic>
                  <pic:nvPicPr>
                    <pic:cNvPr id="0" name="02-override-mid-flow.png"/>
                    <pic:cNvPicPr/>
                  </pic:nvPicPr>
                  <pic:blipFill>
                    <a:blip r:embed="rId12"/>
                    <a:stretch>
                      <a:fillRect/>
                    </a:stretch>
                  </pic:blipFill>
                  <pic:spPr>
                    <a:xfrm>
                      <a:off x="0" y="0"/>
                      <a:ext cx="2834640" cy="1594485"/>
                    </a:xfrm>
                    <a:prstGeom prst="rect"/>
                  </pic:spPr>
                </pic:pic>
              </a:graphicData>
            </a:graphic>
          </wp:inline>
        </w:drawing>
      </w:r>
      <w:r>
        <w:t xml:space="preserve">   </w:t>
      </w:r>
      <w:r>
        <w:drawing>
          <wp:inline xmlns:a="http://schemas.openxmlformats.org/drawingml/2006/main" xmlns:pic="http://schemas.openxmlformats.org/drawingml/2006/picture">
            <wp:extent cx="2834640" cy="1594485"/>
            <wp:docPr id="3" name="Picture 3" descr="TriageLoop prototype: Recomputed audit chain" title="Recomputed audit chain"/>
            <wp:cNvGraphicFramePr>
              <a:graphicFrameLocks noChangeAspect="1"/>
            </wp:cNvGraphicFramePr>
            <a:graphic>
              <a:graphicData uri="http://schemas.openxmlformats.org/drawingml/2006/picture">
                <pic:pic>
                  <pic:nvPicPr>
                    <pic:cNvPr id="0" name="03-audit-chain.png"/>
                    <pic:cNvPicPr/>
                  </pic:nvPicPr>
                  <pic:blipFill>
                    <a:blip r:embed="rId13"/>
                    <a:stretch>
                      <a:fillRect/>
                    </a:stretch>
                  </pic:blipFill>
                  <pic:spPr>
                    <a:xfrm>
                      <a:off x="0" y="0"/>
                      <a:ext cx="2834640" cy="1594485"/>
                    </a:xfrm>
                    <a:prstGeom prst="rect"/>
                  </pic:spPr>
                </pic:pic>
              </a:graphicData>
            </a:graphic>
          </wp:inline>
        </w:drawing>
      </w:r>
    </w:p>
    <w:p>
      <w:pPr>
        <w:pStyle w:val="CaptionSmall"/>
        <w:jc w:val="center"/>
      </w:pPr>
      <w:r>
        <w:t>Reasoned clinician override</w:t>
      </w:r>
      <w:r>
        <w:t xml:space="preserve">    |    </w:t>
      </w:r>
      <w:r>
        <w:t>Recomputed audit chain</w:t>
      </w:r>
    </w:p>
    <w:p>
      <w:pPr>
        <w:jc w:val="center"/>
      </w:pPr>
      <w:r>
        <w:drawing>
          <wp:inline xmlns:a="http://schemas.openxmlformats.org/drawingml/2006/main" xmlns:pic="http://schemas.openxmlformats.org/drawingml/2006/picture">
            <wp:extent cx="2834640" cy="1594485"/>
            <wp:docPr id="4" name="Picture 4" descr="TriageLoop prototype: Verification and negative-result evidence" title="Verification and negative-result evidence"/>
            <wp:cNvGraphicFramePr>
              <a:graphicFrameLocks noChangeAspect="1"/>
            </wp:cNvGraphicFramePr>
            <a:graphic>
              <a:graphicData uri="http://schemas.openxmlformats.org/drawingml/2006/picture">
                <pic:pic>
                  <pic:nvPicPr>
                    <pic:cNvPr id="0" name="04-evidence.png"/>
                    <pic:cNvPicPr/>
                  </pic:nvPicPr>
                  <pic:blipFill>
                    <a:blip r:embed="rId14"/>
                    <a:stretch>
                      <a:fillRect/>
                    </a:stretch>
                  </pic:blipFill>
                  <pic:spPr>
                    <a:xfrm>
                      <a:off x="0" y="0"/>
                      <a:ext cx="2834640" cy="1594485"/>
                    </a:xfrm>
                    <a:prstGeom prst="rect"/>
                  </pic:spPr>
                </pic:pic>
              </a:graphicData>
            </a:graphic>
          </wp:inline>
        </w:drawing>
      </w:r>
      <w:r>
        <w:t xml:space="preserve">   </w:t>
      </w:r>
      <w:r>
        <w:drawing>
          <wp:inline xmlns:a="http://schemas.openxmlformats.org/drawingml/2006/main" xmlns:pic="http://schemas.openxmlformats.org/drawingml/2006/picture">
            <wp:extent cx="2834640" cy="1594485"/>
            <wp:docPr id="5" name="Picture 5" descr="TriageLoop prototype: Capacity truth under surge" title="Capacity truth under surge"/>
            <wp:cNvGraphicFramePr>
              <a:graphicFrameLocks noChangeAspect="1"/>
            </wp:cNvGraphicFramePr>
            <a:graphic>
              <a:graphicData uri="http://schemas.openxmlformats.org/drawingml/2006/picture">
                <pic:pic>
                  <pic:nvPicPr>
                    <pic:cNvPr id="0" name="05-capacity-truth.png"/>
                    <pic:cNvPicPr/>
                  </pic:nvPicPr>
                  <pic:blipFill>
                    <a:blip r:embed="rId15"/>
                    <a:stretch>
                      <a:fillRect/>
                    </a:stretch>
                  </pic:blipFill>
                  <pic:spPr>
                    <a:xfrm>
                      <a:off x="0" y="0"/>
                      <a:ext cx="2834640" cy="1594485"/>
                    </a:xfrm>
                    <a:prstGeom prst="rect"/>
                  </pic:spPr>
                </pic:pic>
              </a:graphicData>
            </a:graphic>
          </wp:inline>
        </w:drawing>
      </w:r>
    </w:p>
    <w:p>
      <w:pPr>
        <w:pStyle w:val="CaptionSmall"/>
        <w:jc w:val="center"/>
      </w:pPr>
      <w:r>
        <w:t>Verification and negative-result evidence</w:t>
      </w:r>
      <w:r>
        <w:t xml:space="preserve">    |    </w:t>
      </w:r>
      <w:r>
        <w:t>Capacity truth under surge</w:t>
      </w:r>
    </w:p>
    <w:p>
      <w:pPr>
        <w:jc w:val="center"/>
      </w:pPr>
      <w:r>
        <w:drawing>
          <wp:inline xmlns:a="http://schemas.openxmlformats.org/drawingml/2006/main" xmlns:pic="http://schemas.openxmlformats.org/drawingml/2006/picture">
            <wp:extent cx="2834640" cy="1594485"/>
            <wp:docPr id="6" name="Picture 6" descr="TriageLoop prototype: Degraded-mode contract" title="Degraded-mode contract"/>
            <wp:cNvGraphicFramePr>
              <a:graphicFrameLocks noChangeAspect="1"/>
            </wp:cNvGraphicFramePr>
            <a:graphic>
              <a:graphicData uri="http://schemas.openxmlformats.org/drawingml/2006/picture">
                <pic:pic>
                  <pic:nvPicPr>
                    <pic:cNvPr id="0" name="06-about-degraded-mode.png"/>
                    <pic:cNvPicPr/>
                  </pic:nvPicPr>
                  <pic:blipFill>
                    <a:blip r:embed="rId16"/>
                    <a:stretch>
                      <a:fillRect/>
                    </a:stretch>
                  </pic:blipFill>
                  <pic:spPr>
                    <a:xfrm>
                      <a:off x="0" y="0"/>
                      <a:ext cx="2834640" cy="1594485"/>
                    </a:xfrm>
                    <a:prstGeom prst="rect"/>
                  </pic:spPr>
                </pic:pic>
              </a:graphicData>
            </a:graphic>
          </wp:inline>
        </w:drawing>
      </w:r>
      <w:r>
        <w:t xml:space="preserve">   </w:t>
      </w:r>
      <w:r>
        <w:drawing>
          <wp:inline xmlns:a="http://schemas.openxmlformats.org/drawingml/2006/main" xmlns:pic="http://schemas.openxmlformats.org/drawingml/2006/picture">
            <wp:extent cx="2834640" cy="1594485"/>
            <wp:docPr id="7" name="Picture 7" descr="TriageLoop prototype: Corrected live-board explanation" title="Corrected live-board explanation"/>
            <wp:cNvGraphicFramePr>
              <a:graphicFrameLocks noChangeAspect="1"/>
            </wp:cNvGraphicFramePr>
            <a:graphic>
              <a:graphicData uri="http://schemas.openxmlformats.org/drawingml/2006/picture">
                <pic:pic>
                  <pic:nvPicPr>
                    <pic:cNvPr id="0" name="tl-04-deadline-board.png"/>
                    <pic:cNvPicPr/>
                  </pic:nvPicPr>
                  <pic:blipFill>
                    <a:blip r:embed="rId11"/>
                    <a:stretch>
                      <a:fillRect/>
                    </a:stretch>
                  </pic:blipFill>
                  <pic:spPr>
                    <a:xfrm>
                      <a:off x="0" y="0"/>
                      <a:ext cx="2834640" cy="1594485"/>
                    </a:xfrm>
                    <a:prstGeom prst="rect"/>
                  </pic:spPr>
                </pic:pic>
              </a:graphicData>
            </a:graphic>
          </wp:inline>
        </w:drawing>
      </w:r>
    </w:p>
    <w:p>
      <w:pPr>
        <w:pStyle w:val="CaptionSmall"/>
        <w:jc w:val="center"/>
      </w:pPr>
      <w:r>
        <w:t>Degraded-mode contract</w:t>
      </w:r>
      <w:r>
        <w:t xml:space="preserve">    |    </w:t>
      </w:r>
      <w:r>
        <w:t>Corrected live-board explanation</w:t>
      </w:r>
    </w:p>
    <w:p>
      <w:pPr>
        <w:keepLines/>
      </w:pPr>
      <w:r>
        <w:t>All screens show the deterministic synthetic prototype. The override, audit, evidence, capacity and degraded-mode views are also indexed in submission/visuals/product-surfaces/README.md.</w:t>
      </w:r>
    </w:p>
    <w:p>
      <w:r>
        <w:br w:type="page"/>
      </w:r>
    </w:p>
    <w:p>
      <w:pPr>
        <w:pStyle w:val="Heading1"/>
        <w:keepNext/>
      </w:pPr>
      <w:r>
        <w:t>5. Technical architecture</w:t>
      </w:r>
    </w:p>
    <w:p>
      <w:pPr>
        <w:pStyle w:val="Subtitle"/>
        <w:spacing w:after="200"/>
      </w:pPr>
      <w:r>
        <w:t>Rules first; model bounded; capacity and audit explicit</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656"/>
            <w:shd w:fill="52163E"/>
            <w:vAlign w:val="center"/>
            <w:tcMar>
              <w:top w:w="80" w:type="dxa"/>
              <w:start w:w="120" w:type="dxa"/>
              <w:bottom w:w="80" w:type="dxa"/>
              <w:end w:w="120" w:type="dxa"/>
            </w:tcMar>
          </w:tcPr>
          <w:p>
            <w:pPr>
              <w:jc w:val="left"/>
            </w:pPr>
            <w:r>
              <w:rPr>
                <w:b/>
                <w:color w:val="FFFFFF"/>
                <w:sz w:val="17"/>
              </w:rPr>
              <w:t>Layer</w:t>
            </w:r>
          </w:p>
        </w:tc>
        <w:tc>
          <w:tcPr>
            <w:tcW w:type="dxa" w:w="3240"/>
            <w:shd w:fill="52163E"/>
            <w:vAlign w:val="center"/>
            <w:tcMar>
              <w:top w:w="80" w:type="dxa"/>
              <w:start w:w="120" w:type="dxa"/>
              <w:bottom w:w="80" w:type="dxa"/>
              <w:end w:w="120" w:type="dxa"/>
            </w:tcMar>
          </w:tcPr>
          <w:p>
            <w:pPr>
              <w:jc w:val="left"/>
            </w:pPr>
            <w:r>
              <w:rPr>
                <w:b/>
                <w:color w:val="FFFFFF"/>
                <w:sz w:val="17"/>
              </w:rPr>
              <w:t>Purpose</w:t>
            </w:r>
          </w:p>
        </w:tc>
        <w:tc>
          <w:tcPr>
            <w:tcW w:type="dxa" w:w="4752"/>
            <w:shd w:fill="52163E"/>
            <w:vAlign w:val="center"/>
            <w:tcMar>
              <w:top w:w="80" w:type="dxa"/>
              <w:start w:w="120" w:type="dxa"/>
              <w:bottom w:w="80" w:type="dxa"/>
              <w:end w:w="120" w:type="dxa"/>
            </w:tcMar>
          </w:tcPr>
          <w:p>
            <w:pPr>
              <w:jc w:val="left"/>
            </w:pPr>
            <w:r>
              <w:rPr>
                <w:b/>
                <w:color w:val="FFFFFF"/>
                <w:sz w:val="17"/>
              </w:rPr>
              <w:t>Prototype implementation</w:t>
            </w:r>
          </w:p>
        </w:tc>
      </w:tr>
      <w:tr>
        <w:trPr>
          <w:cantSplit/>
        </w:trPr>
        <w:tc>
          <w:tcPr>
            <w:tcW w:type="dxa" w:w="1656"/>
            <w:vAlign w:val="top"/>
            <w:tcMar>
              <w:top w:w="80" w:type="dxa"/>
              <w:start w:w="120" w:type="dxa"/>
              <w:bottom w:w="80" w:type="dxa"/>
              <w:end w:w="120" w:type="dxa"/>
            </w:tcMar>
          </w:tcPr>
          <w:p>
            <w:pPr>
              <w:spacing w:after="40"/>
              <w:jc w:val="left"/>
            </w:pPr>
            <w:r>
              <w:rPr>
                <w:sz w:val="16"/>
              </w:rPr>
              <w:t>Input and quality</w:t>
            </w:r>
          </w:p>
        </w:tc>
        <w:tc>
          <w:tcPr>
            <w:tcW w:type="dxa" w:w="3240"/>
            <w:vAlign w:val="top"/>
            <w:tcMar>
              <w:top w:w="80" w:type="dxa"/>
              <w:start w:w="120" w:type="dxa"/>
              <w:bottom w:w="80" w:type="dxa"/>
              <w:end w:w="120" w:type="dxa"/>
            </w:tcMar>
          </w:tcPr>
          <w:p>
            <w:pPr>
              <w:spacing w:after="40"/>
              <w:jc w:val="left"/>
            </w:pPr>
            <w:r>
              <w:rPr>
                <w:sz w:val="16"/>
              </w:rPr>
              <w:t>Normalize encounters and repeated observations; preserve provenance and freshness.</w:t>
            </w:r>
          </w:p>
        </w:tc>
        <w:tc>
          <w:tcPr>
            <w:tcW w:type="dxa" w:w="4752"/>
            <w:vAlign w:val="top"/>
            <w:tcMar>
              <w:top w:w="80" w:type="dxa"/>
              <w:start w:w="120" w:type="dxa"/>
              <w:bottom w:w="80" w:type="dxa"/>
              <w:end w:w="120" w:type="dxa"/>
            </w:tcMar>
          </w:tcPr>
          <w:p>
            <w:pPr>
              <w:spacing w:after="40"/>
              <w:jc w:val="left"/>
            </w:pPr>
            <w:r>
              <w:rPr>
                <w:sz w:val="16"/>
              </w:rPr>
              <w:t>Versioned JSON contracts, synthetic manual intake, completeness/reliability and plausibility checks.</w:t>
            </w:r>
          </w:p>
        </w:tc>
      </w:tr>
      <w:tr>
        <w:trPr>
          <w:cantSplit/>
        </w:trPr>
        <w:tc>
          <w:tcPr>
            <w:tcW w:type="dxa" w:w="1656"/>
            <w:vAlign w:val="top"/>
            <w:tcMar>
              <w:top w:w="80" w:type="dxa"/>
              <w:start w:w="120" w:type="dxa"/>
              <w:bottom w:w="80" w:type="dxa"/>
              <w:end w:w="120" w:type="dxa"/>
            </w:tcMar>
            <w:shd w:fill="F6F5F7"/>
          </w:tcPr>
          <w:p>
            <w:pPr>
              <w:spacing w:after="40"/>
              <w:jc w:val="left"/>
            </w:pPr>
            <w:r>
              <w:rPr>
                <w:sz w:val="16"/>
              </w:rPr>
              <w:t>Safety gate</w:t>
            </w:r>
          </w:p>
        </w:tc>
        <w:tc>
          <w:tcPr>
            <w:tcW w:type="dxa" w:w="3240"/>
            <w:vAlign w:val="top"/>
            <w:tcMar>
              <w:top w:w="80" w:type="dxa"/>
              <w:start w:w="120" w:type="dxa"/>
              <w:bottom w:w="80" w:type="dxa"/>
              <w:end w:w="120" w:type="dxa"/>
            </w:tcMar>
            <w:shd w:fill="F6F5F7"/>
          </w:tcPr>
          <w:p>
            <w:pPr>
              <w:spacing w:after="40"/>
              <w:jc w:val="left"/>
            </w:pPr>
            <w:r>
              <w:rPr>
                <w:sz w:val="16"/>
              </w:rPr>
              <w:t>Catch age-specific red flags before model inference.</w:t>
            </w:r>
          </w:p>
        </w:tc>
        <w:tc>
          <w:tcPr>
            <w:tcW w:type="dxa" w:w="4752"/>
            <w:vAlign w:val="top"/>
            <w:tcMar>
              <w:top w:w="80" w:type="dxa"/>
              <w:start w:w="120" w:type="dxa"/>
              <w:bottom w:w="80" w:type="dxa"/>
              <w:end w:w="120" w:type="dxa"/>
            </w:tcMar>
            <w:shd w:fill="F6F5F7"/>
          </w:tcPr>
          <w:p>
            <w:pPr>
              <w:spacing w:after="40"/>
              <w:jc w:val="left"/>
            </w:pPr>
            <w:r>
              <w:rPr>
                <w:sz w:val="16"/>
              </w:rPr>
              <w:t>Deterministic paediatric/adult/geriatric rules; no-demotion invariant.</w:t>
            </w:r>
          </w:p>
        </w:tc>
      </w:tr>
      <w:tr>
        <w:trPr>
          <w:cantSplit/>
        </w:trPr>
        <w:tc>
          <w:tcPr>
            <w:tcW w:type="dxa" w:w="1656"/>
            <w:vAlign w:val="top"/>
            <w:tcMar>
              <w:top w:w="80" w:type="dxa"/>
              <w:start w:w="120" w:type="dxa"/>
              <w:bottom w:w="80" w:type="dxa"/>
              <w:end w:w="120" w:type="dxa"/>
            </w:tcMar>
          </w:tcPr>
          <w:p>
            <w:pPr>
              <w:spacing w:after="40"/>
              <w:jc w:val="left"/>
            </w:pPr>
            <w:r>
              <w:rPr>
                <w:sz w:val="16"/>
              </w:rPr>
              <w:t>Trajectory engine</w:t>
            </w:r>
          </w:p>
        </w:tc>
        <w:tc>
          <w:tcPr>
            <w:tcW w:type="dxa" w:w="3240"/>
            <w:vAlign w:val="top"/>
            <w:tcMar>
              <w:top w:w="80" w:type="dxa"/>
              <w:start w:w="120" w:type="dxa"/>
              <w:bottom w:w="80" w:type="dxa"/>
              <w:end w:w="120" w:type="dxa"/>
            </w:tcMar>
          </w:tcPr>
          <w:p>
            <w:pPr>
              <w:spacing w:after="40"/>
              <w:jc w:val="left"/>
            </w:pPr>
            <w:r>
              <w:rPr>
                <w:sz w:val="16"/>
              </w:rPr>
              <w:t>Estimate time-horizon deterioration risk from longitudinal data.</w:t>
            </w:r>
          </w:p>
        </w:tc>
        <w:tc>
          <w:tcPr>
            <w:tcW w:type="dxa" w:w="4752"/>
            <w:vAlign w:val="top"/>
            <w:tcMar>
              <w:top w:w="80" w:type="dxa"/>
              <w:start w:w="120" w:type="dxa"/>
              <w:bottom w:w="80" w:type="dxa"/>
              <w:end w:w="120" w:type="dxa"/>
            </w:tcMar>
          </w:tcPr>
          <w:p>
            <w:pPr>
              <w:spacing w:after="40"/>
              <w:jc w:val="left"/>
            </w:pPr>
            <w:r>
              <w:rPr>
                <w:sz w:val="16"/>
              </w:rPr>
              <w:t>Calibrated four-horizon hazard model over selected structured features.</w:t>
            </w:r>
          </w:p>
        </w:tc>
      </w:tr>
      <w:tr>
        <w:trPr>
          <w:cantSplit/>
        </w:trPr>
        <w:tc>
          <w:tcPr>
            <w:tcW w:type="dxa" w:w="1656"/>
            <w:vAlign w:val="top"/>
            <w:tcMar>
              <w:top w:w="80" w:type="dxa"/>
              <w:start w:w="120" w:type="dxa"/>
              <w:bottom w:w="80" w:type="dxa"/>
              <w:end w:w="120" w:type="dxa"/>
            </w:tcMar>
            <w:shd w:fill="F6F5F7"/>
          </w:tcPr>
          <w:p>
            <w:pPr>
              <w:spacing w:after="40"/>
              <w:jc w:val="left"/>
            </w:pPr>
            <w:r>
              <w:rPr>
                <w:sz w:val="16"/>
              </w:rPr>
              <w:t>Uncertainty shell</w:t>
            </w:r>
          </w:p>
        </w:tc>
        <w:tc>
          <w:tcPr>
            <w:tcW w:type="dxa" w:w="3240"/>
            <w:vAlign w:val="top"/>
            <w:tcMar>
              <w:top w:w="80" w:type="dxa"/>
              <w:start w:w="120" w:type="dxa"/>
              <w:bottom w:w="80" w:type="dxa"/>
              <w:end w:w="120" w:type="dxa"/>
            </w:tcMar>
            <w:shd w:fill="F6F5F7"/>
          </w:tcPr>
          <w:p>
            <w:pPr>
              <w:spacing w:after="40"/>
              <w:jc w:val="left"/>
            </w:pPr>
            <w:r>
              <w:rPr>
                <w:sz w:val="16"/>
              </w:rPr>
              <w:t>Recognize ambiguity and distribution shift.</w:t>
            </w:r>
          </w:p>
        </w:tc>
        <w:tc>
          <w:tcPr>
            <w:tcW w:type="dxa" w:w="4752"/>
            <w:vAlign w:val="top"/>
            <w:tcMar>
              <w:top w:w="80" w:type="dxa"/>
              <w:start w:w="120" w:type="dxa"/>
              <w:bottom w:w="80" w:type="dxa"/>
              <w:end w:w="120" w:type="dxa"/>
            </w:tcMar>
            <w:shd w:fill="F6F5F7"/>
          </w:tcPr>
          <w:p>
            <w:pPr>
              <w:spacing w:after="40"/>
              <w:jc w:val="left"/>
            </w:pPr>
            <w:r>
              <w:rPr>
                <w:sz w:val="16"/>
              </w:rPr>
              <w:t>Mondrian conformal set, OOD/data-quality signals and Safe Mode.</w:t>
            </w:r>
          </w:p>
        </w:tc>
      </w:tr>
      <w:tr>
        <w:trPr>
          <w:cantSplit/>
        </w:trPr>
        <w:tc>
          <w:tcPr>
            <w:tcW w:type="dxa" w:w="1656"/>
            <w:vAlign w:val="top"/>
            <w:tcMar>
              <w:top w:w="80" w:type="dxa"/>
              <w:start w:w="120" w:type="dxa"/>
              <w:bottom w:w="80" w:type="dxa"/>
              <w:end w:w="120" w:type="dxa"/>
            </w:tcMar>
          </w:tcPr>
          <w:p>
            <w:pPr>
              <w:spacing w:after="40"/>
              <w:jc w:val="left"/>
            </w:pPr>
            <w:r>
              <w:rPr>
                <w:sz w:val="16"/>
              </w:rPr>
              <w:t>Action policy</w:t>
            </w:r>
          </w:p>
        </w:tc>
        <w:tc>
          <w:tcPr>
            <w:tcW w:type="dxa" w:w="3240"/>
            <w:vAlign w:val="top"/>
            <w:tcMar>
              <w:top w:w="80" w:type="dxa"/>
              <w:start w:w="120" w:type="dxa"/>
              <w:bottom w:w="80" w:type="dxa"/>
              <w:end w:w="120" w:type="dxa"/>
            </w:tcMar>
          </w:tcPr>
          <w:p>
            <w:pPr>
              <w:spacing w:after="40"/>
              <w:jc w:val="left"/>
            </w:pPr>
            <w:r>
              <w:rPr>
                <w:sz w:val="16"/>
              </w:rPr>
              <w:t>Translate evidence into bounded time to reassessment/action.</w:t>
            </w:r>
          </w:p>
        </w:tc>
        <w:tc>
          <w:tcPr>
            <w:tcW w:type="dxa" w:w="4752"/>
            <w:vAlign w:val="top"/>
            <w:tcMar>
              <w:top w:w="80" w:type="dxa"/>
              <w:start w:w="120" w:type="dxa"/>
              <w:bottom w:w="80" w:type="dxa"/>
              <w:end w:w="120" w:type="dxa"/>
            </w:tcMar>
          </w:tcPr>
          <w:p>
            <w:pPr>
              <w:spacing w:after="40"/>
              <w:jc w:val="left"/>
            </w:pPr>
            <w:r>
              <w:rPr>
                <w:sz w:val="16"/>
              </w:rPr>
              <w:t>Dynamic Action Window with fixed category and hard-rule limits.</w:t>
            </w:r>
          </w:p>
        </w:tc>
      </w:tr>
      <w:tr>
        <w:trPr>
          <w:cantSplit/>
        </w:trPr>
        <w:tc>
          <w:tcPr>
            <w:tcW w:type="dxa" w:w="1656"/>
            <w:vAlign w:val="top"/>
            <w:tcMar>
              <w:top w:w="80" w:type="dxa"/>
              <w:start w:w="120" w:type="dxa"/>
              <w:bottom w:w="80" w:type="dxa"/>
              <w:end w:w="120" w:type="dxa"/>
            </w:tcMar>
            <w:shd w:fill="F6F5F7"/>
          </w:tcPr>
          <w:p>
            <w:pPr>
              <w:spacing w:after="40"/>
              <w:jc w:val="left"/>
            </w:pPr>
            <w:r>
              <w:rPr>
                <w:sz w:val="16"/>
              </w:rPr>
              <w:t>Queue Twin</w:t>
            </w:r>
          </w:p>
        </w:tc>
        <w:tc>
          <w:tcPr>
            <w:tcW w:type="dxa" w:w="3240"/>
            <w:vAlign w:val="top"/>
            <w:tcMar>
              <w:top w:w="80" w:type="dxa"/>
              <w:start w:w="120" w:type="dxa"/>
              <w:bottom w:w="80" w:type="dxa"/>
              <w:end w:w="120" w:type="dxa"/>
            </w:tcMar>
            <w:shd w:fill="F6F5F7"/>
          </w:tcPr>
          <w:p>
            <w:pPr>
              <w:spacing w:after="40"/>
              <w:jc w:val="left"/>
            </w:pPr>
            <w:r>
              <w:rPr>
                <w:sz w:val="16"/>
              </w:rPr>
              <w:t>Project time to action under site capacity and demand.</w:t>
            </w:r>
          </w:p>
        </w:tc>
        <w:tc>
          <w:tcPr>
            <w:tcW w:type="dxa" w:w="4752"/>
            <w:vAlign w:val="top"/>
            <w:tcMar>
              <w:top w:w="80" w:type="dxa"/>
              <w:start w:w="120" w:type="dxa"/>
              <w:bottom w:w="80" w:type="dxa"/>
              <w:end w:w="120" w:type="dxa"/>
            </w:tcMar>
            <w:shd w:fill="F6F5F7"/>
          </w:tcPr>
          <w:p>
            <w:pPr>
              <w:spacing w:after="40"/>
              <w:jc w:val="left"/>
            </w:pPr>
            <w:r>
              <w:rPr>
                <w:sz w:val="16"/>
              </w:rPr>
              <w:t>Paired event simulation for community, regional and urban-trauma profiles.</w:t>
            </w:r>
          </w:p>
        </w:tc>
      </w:tr>
      <w:tr>
        <w:trPr>
          <w:cantSplit/>
        </w:trPr>
        <w:tc>
          <w:tcPr>
            <w:tcW w:type="dxa" w:w="1656"/>
            <w:vAlign w:val="top"/>
            <w:tcMar>
              <w:top w:w="80" w:type="dxa"/>
              <w:start w:w="120" w:type="dxa"/>
              <w:bottom w:w="80" w:type="dxa"/>
              <w:end w:w="120" w:type="dxa"/>
            </w:tcMar>
          </w:tcPr>
          <w:p>
            <w:pPr>
              <w:spacing w:after="40"/>
              <w:jc w:val="left"/>
            </w:pPr>
            <w:r>
              <w:rPr>
                <w:sz w:val="16"/>
              </w:rPr>
              <w:t>Product/API</w:t>
            </w:r>
          </w:p>
        </w:tc>
        <w:tc>
          <w:tcPr>
            <w:tcW w:type="dxa" w:w="3240"/>
            <w:vAlign w:val="top"/>
            <w:tcMar>
              <w:top w:w="80" w:type="dxa"/>
              <w:start w:w="120" w:type="dxa"/>
              <w:bottom w:w="80" w:type="dxa"/>
              <w:end w:w="120" w:type="dxa"/>
            </w:tcMar>
          </w:tcPr>
          <w:p>
            <w:pPr>
              <w:spacing w:after="40"/>
              <w:jc w:val="left"/>
            </w:pPr>
            <w:r>
              <w:rPr>
                <w:sz w:val="16"/>
              </w:rPr>
              <w:t>Expose queue, patient explanation, decisions, evidence and audit.</w:t>
            </w:r>
          </w:p>
        </w:tc>
        <w:tc>
          <w:tcPr>
            <w:tcW w:type="dxa" w:w="4752"/>
            <w:vAlign w:val="top"/>
            <w:tcMar>
              <w:top w:w="80" w:type="dxa"/>
              <w:start w:w="120" w:type="dxa"/>
              <w:bottom w:w="80" w:type="dxa"/>
              <w:end w:w="120" w:type="dxa"/>
            </w:tcMar>
          </w:tcPr>
          <w:p>
            <w:pPr>
              <w:spacing w:after="40"/>
              <w:jc w:val="left"/>
            </w:pPr>
            <w:r>
              <w:rPr>
                <w:sz w:val="16"/>
              </w:rPr>
              <w:t>Next.js web application + FastAPI service; deterministic demo reset.</w:t>
            </w:r>
          </w:p>
        </w:tc>
      </w:tr>
      <w:tr>
        <w:trPr>
          <w:cantSplit/>
        </w:trPr>
        <w:tc>
          <w:tcPr>
            <w:tcW w:type="dxa" w:w="1656"/>
            <w:vAlign w:val="top"/>
            <w:tcMar>
              <w:top w:w="80" w:type="dxa"/>
              <w:start w:w="120" w:type="dxa"/>
              <w:bottom w:w="80" w:type="dxa"/>
              <w:end w:w="120" w:type="dxa"/>
            </w:tcMar>
            <w:shd w:fill="F6F5F7"/>
          </w:tcPr>
          <w:p>
            <w:pPr>
              <w:spacing w:after="40"/>
              <w:jc w:val="left"/>
            </w:pPr>
            <w:r>
              <w:rPr>
                <w:sz w:val="16"/>
              </w:rPr>
              <w:t>Audit</w:t>
            </w:r>
          </w:p>
        </w:tc>
        <w:tc>
          <w:tcPr>
            <w:tcW w:type="dxa" w:w="3240"/>
            <w:vAlign w:val="top"/>
            <w:tcMar>
              <w:top w:w="80" w:type="dxa"/>
              <w:start w:w="120" w:type="dxa"/>
              <w:bottom w:w="80" w:type="dxa"/>
              <w:end w:w="120" w:type="dxa"/>
            </w:tcMar>
            <w:shd w:fill="F6F5F7"/>
          </w:tcPr>
          <w:p>
            <w:pPr>
              <w:spacing w:after="40"/>
              <w:jc w:val="left"/>
            </w:pPr>
            <w:r>
              <w:rPr>
                <w:sz w:val="16"/>
              </w:rPr>
              <w:t>Preserve material state changes and clinician decisions.</w:t>
            </w:r>
          </w:p>
        </w:tc>
        <w:tc>
          <w:tcPr>
            <w:tcW w:type="dxa" w:w="4752"/>
            <w:vAlign w:val="top"/>
            <w:tcMar>
              <w:top w:w="80" w:type="dxa"/>
              <w:start w:w="120" w:type="dxa"/>
              <w:bottom w:w="80" w:type="dxa"/>
              <w:end w:w="120" w:type="dxa"/>
            </w:tcMar>
            <w:shd w:fill="F6F5F7"/>
          </w:tcPr>
          <w:p>
            <w:pPr>
              <w:spacing w:after="40"/>
              <w:jc w:val="left"/>
            </w:pPr>
            <w:r>
              <w:rPr>
                <w:sz w:val="16"/>
              </w:rPr>
              <w:t>Append-only event model with recomputed SHA-256 hash links.</w:t>
            </w:r>
          </w:p>
        </w:tc>
      </w:tr>
    </w:tbl>
    <w:p>
      <w:pPr>
        <w:spacing w:after="20"/>
      </w:pPr>
    </w:p>
    <w:p>
      <w:pPr>
        <w:spacing w:before="100" w:after="160" w:line="269" w:lineRule="auto"/>
        <w:ind w:left="115" w:right="115"/>
        <w:shd w:fill="F7EEF4"/>
        <w:jc w:val="left"/>
        <w:keepLines/>
      </w:pPr>
      <w:r>
        <w:rPr>
          <w:b/>
          <w:color w:val="7A1F5C"/>
        </w:rPr>
        <w:t xml:space="preserve">Failure-safe design  </w:t>
      </w:r>
      <w:r>
        <w:t>If the model is unavailable, deterministic rules and fixed category windows remain. If the Queue Twin is unavailable, the clinical requirement remains visible and feasibility becomes ‘unknown.’ If audit persistence fails, state-changing clinician actions are blocked rather than silently lost.</w:t>
      </w:r>
    </w:p>
    <w:p>
      <w:pPr>
        <w:pStyle w:val="Heading2"/>
        <w:keepNext/>
      </w:pPr>
      <w:r>
        <w:t>Deployment posture</w:t>
      </w:r>
    </w:p>
    <w:p>
      <w:pPr>
        <w:keepLines/>
      </w:pPr>
      <w:r>
        <w:t>The prototype is containerized as separate web and API services. A hospital deployment would place the service behind hospital identity, network and observability controls, consume approved messages through a local adapter, and retain only the minimum necessary fields. The core system is an overlay; it does not require replacement of the EHR or ED information system.</w:t>
      </w:r>
    </w:p>
    <w:p>
      <w:r>
        <w:br w:type="page"/>
      </w:r>
    </w:p>
    <w:p>
      <w:pPr>
        <w:pStyle w:val="Heading1"/>
        <w:keepNext/>
      </w:pPr>
      <w:r>
        <w:t>6. Data, model and uncertainty</w:t>
      </w:r>
    </w:p>
    <w:p>
      <w:pPr>
        <w:pStyle w:val="Subtitle"/>
        <w:spacing w:after="200"/>
      </w:pPr>
      <w:r>
        <w:t>Evidence without pretending that synthetic data is clinical validation</w:t>
      </w:r>
    </w:p>
    <w:p>
      <w:pPr>
        <w:pStyle w:val="Heading2"/>
        <w:keepNext/>
      </w:pPr>
      <w:r>
        <w:t>Data strategy</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232"/>
            <w:shd w:fill="52163E"/>
            <w:vAlign w:val="center"/>
            <w:tcMar>
              <w:top w:w="80" w:type="dxa"/>
              <w:start w:w="120" w:type="dxa"/>
              <w:bottom w:w="80" w:type="dxa"/>
              <w:end w:w="120" w:type="dxa"/>
            </w:tcMar>
          </w:tcPr>
          <w:p>
            <w:pPr>
              <w:jc w:val="left"/>
            </w:pPr>
            <w:r>
              <w:rPr>
                <w:b/>
                <w:color w:val="FFFFFF"/>
                <w:sz w:val="17"/>
              </w:rPr>
              <w:t>Asset</w:t>
            </w:r>
          </w:p>
        </w:tc>
        <w:tc>
          <w:tcPr>
            <w:tcW w:type="dxa" w:w="3096"/>
            <w:shd w:fill="52163E"/>
            <w:vAlign w:val="center"/>
            <w:tcMar>
              <w:top w:w="80" w:type="dxa"/>
              <w:start w:w="120" w:type="dxa"/>
              <w:bottom w:w="80" w:type="dxa"/>
              <w:end w:w="120" w:type="dxa"/>
            </w:tcMar>
          </w:tcPr>
          <w:p>
            <w:pPr>
              <w:jc w:val="left"/>
            </w:pPr>
            <w:r>
              <w:rPr>
                <w:b/>
                <w:color w:val="FFFFFF"/>
                <w:sz w:val="17"/>
              </w:rPr>
              <w:t>Scale / role</w:t>
            </w:r>
          </w:p>
        </w:tc>
        <w:tc>
          <w:tcPr>
            <w:tcW w:type="dxa" w:w="4320"/>
            <w:shd w:fill="52163E"/>
            <w:vAlign w:val="center"/>
            <w:tcMar>
              <w:top w:w="80" w:type="dxa"/>
              <w:start w:w="120" w:type="dxa"/>
              <w:bottom w:w="80" w:type="dxa"/>
              <w:end w:w="120" w:type="dxa"/>
            </w:tcMar>
          </w:tcPr>
          <w:p>
            <w:pPr>
              <w:jc w:val="left"/>
            </w:pPr>
            <w:r>
              <w:rPr>
                <w:b/>
                <w:color w:val="FFFFFF"/>
                <w:sz w:val="17"/>
              </w:rPr>
              <w:t>What it supports</w:t>
            </w:r>
          </w:p>
        </w:tc>
      </w:tr>
      <w:tr>
        <w:trPr>
          <w:cantSplit/>
        </w:trPr>
        <w:tc>
          <w:tcPr>
            <w:tcW w:type="dxa" w:w="2232"/>
            <w:vAlign w:val="top"/>
            <w:tcMar>
              <w:top w:w="80" w:type="dxa"/>
              <w:start w:w="120" w:type="dxa"/>
              <w:bottom w:w="80" w:type="dxa"/>
              <w:end w:w="120" w:type="dxa"/>
            </w:tcMar>
          </w:tcPr>
          <w:p>
            <w:pPr>
              <w:spacing w:after="40"/>
              <w:jc w:val="left"/>
            </w:pPr>
            <w:r>
              <w:rPr>
                <w:sz w:val="16"/>
              </w:rPr>
              <w:t>Curated edge cases</w:t>
            </w:r>
          </w:p>
        </w:tc>
        <w:tc>
          <w:tcPr>
            <w:tcW w:type="dxa" w:w="3096"/>
            <w:vAlign w:val="top"/>
            <w:tcMar>
              <w:top w:w="80" w:type="dxa"/>
              <w:start w:w="120" w:type="dxa"/>
              <w:bottom w:w="80" w:type="dxa"/>
              <w:end w:w="120" w:type="dxa"/>
            </w:tcMar>
          </w:tcPr>
          <w:p>
            <w:pPr>
              <w:spacing w:after="40"/>
              <w:jc w:val="left"/>
            </w:pPr>
            <w:r>
              <w:rPr>
                <w:sz w:val="16"/>
              </w:rPr>
              <w:t>28 named patient journeys</w:t>
            </w:r>
          </w:p>
        </w:tc>
        <w:tc>
          <w:tcPr>
            <w:tcW w:type="dxa" w:w="4320"/>
            <w:vAlign w:val="top"/>
            <w:tcMar>
              <w:top w:w="80" w:type="dxa"/>
              <w:start w:w="120" w:type="dxa"/>
              <w:bottom w:w="80" w:type="dxa"/>
              <w:end w:w="120" w:type="dxa"/>
            </w:tcMar>
          </w:tcPr>
          <w:p>
            <w:pPr>
              <w:spacing w:after="40"/>
              <w:jc w:val="left"/>
            </w:pPr>
            <w:r>
              <w:rPr>
                <w:sz w:val="16"/>
              </w:rPr>
              <w:t>Brief coverage: ambiguity, under-reporting, age bands, no history, missingness and deterioration.</w:t>
            </w:r>
          </w:p>
        </w:tc>
      </w:tr>
      <w:tr>
        <w:trPr>
          <w:cantSplit/>
        </w:trPr>
        <w:tc>
          <w:tcPr>
            <w:tcW w:type="dxa" w:w="2232"/>
            <w:vAlign w:val="top"/>
            <w:tcMar>
              <w:top w:w="80" w:type="dxa"/>
              <w:start w:w="120" w:type="dxa"/>
              <w:bottom w:w="80" w:type="dxa"/>
              <w:end w:w="120" w:type="dxa"/>
            </w:tcMar>
            <w:shd w:fill="F6F5F7"/>
          </w:tcPr>
          <w:p>
            <w:pPr>
              <w:spacing w:after="40"/>
              <w:jc w:val="left"/>
            </w:pPr>
            <w:r>
              <w:rPr>
                <w:sz w:val="16"/>
              </w:rPr>
              <w:t>Synthetic longitudinal population</w:t>
            </w:r>
          </w:p>
        </w:tc>
        <w:tc>
          <w:tcPr>
            <w:tcW w:type="dxa" w:w="3096"/>
            <w:vAlign w:val="top"/>
            <w:tcMar>
              <w:top w:w="80" w:type="dxa"/>
              <w:start w:w="120" w:type="dxa"/>
              <w:bottom w:w="80" w:type="dxa"/>
              <w:end w:w="120" w:type="dxa"/>
            </w:tcMar>
            <w:shd w:fill="F6F5F7"/>
          </w:tcPr>
          <w:p>
            <w:pPr>
              <w:spacing w:after="40"/>
              <w:jc w:val="left"/>
            </w:pPr>
            <w:r>
              <w:rPr>
                <w:sz w:val="16"/>
              </w:rPr>
              <w:t>10,000 seeded encounters</w:t>
            </w:r>
          </w:p>
        </w:tc>
        <w:tc>
          <w:tcPr>
            <w:tcW w:type="dxa" w:w="4320"/>
            <w:vAlign w:val="top"/>
            <w:tcMar>
              <w:top w:w="80" w:type="dxa"/>
              <w:start w:w="120" w:type="dxa"/>
              <w:bottom w:w="80" w:type="dxa"/>
              <w:end w:w="120" w:type="dxa"/>
            </w:tcMar>
            <w:shd w:fill="F6F5F7"/>
          </w:tcPr>
          <w:p>
            <w:pPr>
              <w:spacing w:after="40"/>
              <w:jc w:val="left"/>
            </w:pPr>
            <w:r>
              <w:rPr>
                <w:sz w:val="16"/>
              </w:rPr>
              <w:t>Model development and stress evaluation under controlled, reproducible assumptions.</w:t>
            </w:r>
          </w:p>
        </w:tc>
      </w:tr>
      <w:tr>
        <w:trPr>
          <w:cantSplit/>
        </w:trPr>
        <w:tc>
          <w:tcPr>
            <w:tcW w:type="dxa" w:w="2232"/>
            <w:vAlign w:val="top"/>
            <w:tcMar>
              <w:top w:w="80" w:type="dxa"/>
              <w:start w:w="120" w:type="dxa"/>
              <w:bottom w:w="80" w:type="dxa"/>
              <w:end w:w="120" w:type="dxa"/>
            </w:tcMar>
          </w:tcPr>
          <w:p>
            <w:pPr>
              <w:spacing w:after="40"/>
              <w:jc w:val="left"/>
            </w:pPr>
            <w:r>
              <w:rPr>
                <w:sz w:val="16"/>
              </w:rPr>
              <w:t>Queue shifts</w:t>
            </w:r>
          </w:p>
        </w:tc>
        <w:tc>
          <w:tcPr>
            <w:tcW w:type="dxa" w:w="3096"/>
            <w:vAlign w:val="top"/>
            <w:tcMar>
              <w:top w:w="80" w:type="dxa"/>
              <w:start w:w="120" w:type="dxa"/>
              <w:bottom w:w="80" w:type="dxa"/>
              <w:end w:w="120" w:type="dxa"/>
            </w:tcMar>
          </w:tcPr>
          <w:p>
            <w:pPr>
              <w:spacing w:after="40"/>
              <w:jc w:val="left"/>
            </w:pPr>
            <w:r>
              <w:rPr>
                <w:sz w:val="16"/>
              </w:rPr>
              <w:t>Three site profiles; baseline and 3× demand</w:t>
            </w:r>
          </w:p>
        </w:tc>
        <w:tc>
          <w:tcPr>
            <w:tcW w:type="dxa" w:w="4320"/>
            <w:vAlign w:val="top"/>
            <w:tcMar>
              <w:top w:w="80" w:type="dxa"/>
              <w:start w:w="120" w:type="dxa"/>
              <w:bottom w:w="80" w:type="dxa"/>
              <w:end w:w="120" w:type="dxa"/>
            </w:tcMar>
          </w:tcPr>
          <w:p>
            <w:pPr>
              <w:spacing w:after="40"/>
              <w:jc w:val="left"/>
            </w:pPr>
            <w:r>
              <w:rPr>
                <w:sz w:val="16"/>
              </w:rPr>
              <w:t>Paired policy comparison and capacity/fairness guardrails.</w:t>
            </w:r>
          </w:p>
        </w:tc>
      </w:tr>
      <w:tr>
        <w:trPr>
          <w:cantSplit/>
        </w:trPr>
        <w:tc>
          <w:tcPr>
            <w:tcW w:type="dxa" w:w="2232"/>
            <w:vAlign w:val="top"/>
            <w:tcMar>
              <w:top w:w="80" w:type="dxa"/>
              <w:start w:w="120" w:type="dxa"/>
              <w:bottom w:w="80" w:type="dxa"/>
              <w:end w:w="120" w:type="dxa"/>
            </w:tcMar>
            <w:shd w:fill="F6F5F7"/>
          </w:tcPr>
          <w:p>
            <w:pPr>
              <w:spacing w:after="40"/>
              <w:jc w:val="left"/>
            </w:pPr>
            <w:r>
              <w:rPr>
                <w:sz w:val="16"/>
              </w:rPr>
              <w:t>MIMIC-IV demo plausibility</w:t>
            </w:r>
          </w:p>
        </w:tc>
        <w:tc>
          <w:tcPr>
            <w:tcW w:type="dxa" w:w="3096"/>
            <w:vAlign w:val="top"/>
            <w:tcMar>
              <w:top w:w="80" w:type="dxa"/>
              <w:start w:w="120" w:type="dxa"/>
              <w:bottom w:w="80" w:type="dxa"/>
              <w:end w:w="120" w:type="dxa"/>
            </w:tcMar>
            <w:shd w:fill="F6F5F7"/>
          </w:tcPr>
          <w:p>
            <w:pPr>
              <w:spacing w:after="40"/>
              <w:jc w:val="left"/>
            </w:pPr>
            <w:r>
              <w:rPr>
                <w:sz w:val="16"/>
              </w:rPr>
              <w:t>63,163 mapped measurements from an open 100-patient hospital/ICU demo</w:t>
            </w:r>
          </w:p>
        </w:tc>
        <w:tc>
          <w:tcPr>
            <w:tcW w:type="dxa" w:w="4320"/>
            <w:vAlign w:val="top"/>
            <w:tcMar>
              <w:top w:w="80" w:type="dxa"/>
              <w:start w:w="120" w:type="dxa"/>
              <w:bottom w:w="80" w:type="dxa"/>
              <w:end w:w="120" w:type="dxa"/>
            </w:tcMar>
            <w:shd w:fill="F6F5F7"/>
          </w:tcPr>
          <w:p>
            <w:pPr>
              <w:spacing w:after="40"/>
              <w:jc w:val="left"/>
            </w:pPr>
            <w:r>
              <w:rPr>
                <w:sz w:val="16"/>
              </w:rPr>
              <w:t>Rules out gross input-scale mismatch only; not ED or performance validation.</w:t>
            </w:r>
          </w:p>
        </w:tc>
      </w:tr>
    </w:tbl>
    <w:p>
      <w:pPr>
        <w:spacing w:after="20"/>
      </w:pPr>
    </w:p>
    <w:p>
      <w:pPr>
        <w:pStyle w:val="Heading2"/>
        <w:keepNext/>
      </w:pPr>
      <w:r>
        <w:t>Model policy</w:t>
      </w:r>
    </w:p>
    <w:p>
      <w:pPr>
        <w:pStyle w:val="ListBullet"/>
        <w:spacing w:after="60"/>
        <w:ind w:left="490" w:hanging="230"/>
        <w:keepLines/>
      </w:pPr>
      <w:r>
        <w:t>Hard clinical red flags run before quantitative inference and cannot be relaxed by the model.</w:t>
      </w:r>
    </w:p>
    <w:p>
      <w:pPr>
        <w:pStyle w:val="ListBullet"/>
        <w:spacing w:after="60"/>
        <w:ind w:left="490" w:hanging="230"/>
        <w:keepLines/>
      </w:pPr>
      <w:r>
        <w:t>Risk is calibrated across four time horizons and evaluated with recall constraints because under-triage cost is asymmetric.</w:t>
      </w:r>
    </w:p>
    <w:p>
      <w:pPr>
        <w:pStyle w:val="ListBullet"/>
        <w:spacing w:after="60"/>
        <w:ind w:left="490" w:hanging="230"/>
        <w:keepLines/>
      </w:pPr>
      <w:r>
        <w:t>Conformal prediction, OOD and data quality contribute to an explicit uncertainty state.</w:t>
      </w:r>
    </w:p>
    <w:p>
      <w:pPr>
        <w:pStyle w:val="ListBullet"/>
        <w:spacing w:after="60"/>
        <w:ind w:left="490" w:hanging="230"/>
        <w:keepLines/>
      </w:pPr>
      <w:r>
        <w:t>The Action Window is bounded by category/rule limits, then passed to the Queue Twin; the model does not directly allocate staff.</w:t>
      </w:r>
    </w:p>
    <w:p>
      <w:pPr>
        <w:spacing w:before="100" w:after="160" w:line="269" w:lineRule="auto"/>
        <w:ind w:left="115" w:right="115"/>
        <w:shd w:fill="FEECEB"/>
        <w:jc w:val="left"/>
        <w:keepLines/>
      </w:pPr>
      <w:r>
        <w:rPr>
          <w:b/>
          <w:color w:val="B42318"/>
        </w:rPr>
        <w:t xml:space="preserve">What the prototype does not prove  </w:t>
      </w:r>
      <w:r>
        <w:t>It does not establish real-world clinical accuracy, patient benefit, safe staffing, generalizability to another hospital, or legal/regulatory compliance. Those require local retrospective and prospective validation.</w:t>
      </w:r>
    </w:p>
    <w:p>
      <w:r>
        <w:br w:type="page"/>
      </w:r>
    </w:p>
    <w:p>
      <w:pPr>
        <w:pStyle w:val="Heading1"/>
        <w:keepNext/>
      </w:pPr>
      <w:r>
        <w:t>7. Verification and evidence</w:t>
      </w:r>
    </w:p>
    <w:p>
      <w:pPr>
        <w:pStyle w:val="Subtitle"/>
        <w:spacing w:after="200"/>
      </w:pPr>
      <w:r>
        <w:t>Strong comparator, confidence interval, negative result</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376"/>
            <w:shd w:fill="52163E"/>
            <w:vAlign w:val="center"/>
            <w:tcMar>
              <w:top w:w="80" w:type="dxa"/>
              <w:start w:w="120" w:type="dxa"/>
              <w:bottom w:w="80" w:type="dxa"/>
              <w:end w:w="120" w:type="dxa"/>
            </w:tcMar>
          </w:tcPr>
          <w:p>
            <w:pPr>
              <w:jc w:val="left"/>
            </w:pPr>
            <w:r>
              <w:rPr>
                <w:b/>
                <w:color w:val="FFFFFF"/>
                <w:sz w:val="17"/>
              </w:rPr>
              <w:t>Verification item</w:t>
            </w:r>
          </w:p>
        </w:tc>
        <w:tc>
          <w:tcPr>
            <w:tcW w:type="dxa" w:w="3384"/>
            <w:shd w:fill="52163E"/>
            <w:vAlign w:val="center"/>
            <w:tcMar>
              <w:top w:w="80" w:type="dxa"/>
              <w:start w:w="120" w:type="dxa"/>
              <w:bottom w:w="80" w:type="dxa"/>
              <w:end w:w="120" w:type="dxa"/>
            </w:tcMar>
          </w:tcPr>
          <w:p>
            <w:pPr>
              <w:jc w:val="left"/>
            </w:pPr>
            <w:r>
              <w:rPr>
                <w:b/>
                <w:color w:val="FFFFFF"/>
                <w:sz w:val="17"/>
              </w:rPr>
              <w:t>Result</w:t>
            </w:r>
          </w:p>
        </w:tc>
        <w:tc>
          <w:tcPr>
            <w:tcW w:type="dxa" w:w="3888"/>
            <w:shd w:fill="52163E"/>
            <w:vAlign w:val="center"/>
            <w:tcMar>
              <w:top w:w="80" w:type="dxa"/>
              <w:start w:w="120" w:type="dxa"/>
              <w:bottom w:w="80" w:type="dxa"/>
              <w:end w:w="120" w:type="dxa"/>
            </w:tcMar>
          </w:tcPr>
          <w:p>
            <w:pPr>
              <w:jc w:val="left"/>
            </w:pPr>
            <w:r>
              <w:rPr>
                <w:b/>
                <w:color w:val="FFFFFF"/>
                <w:sz w:val="17"/>
              </w:rPr>
              <w:t>Interpretation</w:t>
            </w:r>
          </w:p>
        </w:tc>
      </w:tr>
      <w:tr>
        <w:trPr>
          <w:cantSplit/>
        </w:trPr>
        <w:tc>
          <w:tcPr>
            <w:tcW w:type="dxa" w:w="2376"/>
            <w:vAlign w:val="top"/>
            <w:tcMar>
              <w:top w:w="80" w:type="dxa"/>
              <w:start w:w="120" w:type="dxa"/>
              <w:bottom w:w="80" w:type="dxa"/>
              <w:end w:w="120" w:type="dxa"/>
            </w:tcMar>
          </w:tcPr>
          <w:p>
            <w:pPr>
              <w:spacing w:after="40"/>
              <w:jc w:val="left"/>
            </w:pPr>
            <w:r>
              <w:rPr>
                <w:sz w:val="16"/>
              </w:rPr>
              <w:t>Action Window misses under 3× surge</w:t>
            </w:r>
          </w:p>
        </w:tc>
        <w:tc>
          <w:tcPr>
            <w:tcW w:type="dxa" w:w="3384"/>
            <w:vAlign w:val="top"/>
            <w:tcMar>
              <w:top w:w="80" w:type="dxa"/>
              <w:start w:w="120" w:type="dxa"/>
              <w:bottom w:w="80" w:type="dxa"/>
              <w:end w:w="120" w:type="dxa"/>
            </w:tcMar>
          </w:tcPr>
          <w:p>
            <w:pPr>
              <w:spacing w:after="40"/>
              <w:jc w:val="left"/>
            </w:pPr>
            <w:r>
              <w:rPr>
                <w:sz w:val="16"/>
              </w:rPr>
              <w:t>17.7% → 14.1%; 20.5% relative reduction; 95% CI 17.4%–23.8%</w:t>
            </w:r>
          </w:p>
        </w:tc>
        <w:tc>
          <w:tcPr>
            <w:tcW w:type="dxa" w:w="3888"/>
            <w:vAlign w:val="top"/>
            <w:tcMar>
              <w:top w:w="80" w:type="dxa"/>
              <w:start w:w="120" w:type="dxa"/>
              <w:bottom w:w="80" w:type="dxa"/>
              <w:end w:w="120" w:type="dxa"/>
            </w:tcMar>
          </w:tcPr>
          <w:p>
            <w:pPr>
              <w:spacing w:after="40"/>
              <w:jc w:val="left"/>
            </w:pPr>
            <w:r>
              <w:rPr>
                <w:sz w:val="16"/>
              </w:rPr>
              <w:t>Versus fixed 15-minute periodic re-triage across 1,200 paired synthetic shifts.</w:t>
            </w:r>
          </w:p>
        </w:tc>
      </w:tr>
      <w:tr>
        <w:trPr>
          <w:cantSplit/>
        </w:trPr>
        <w:tc>
          <w:tcPr>
            <w:tcW w:type="dxa" w:w="2376"/>
            <w:vAlign w:val="top"/>
            <w:tcMar>
              <w:top w:w="80" w:type="dxa"/>
              <w:start w:w="120" w:type="dxa"/>
              <w:bottom w:w="80" w:type="dxa"/>
              <w:end w:w="120" w:type="dxa"/>
            </w:tcMar>
            <w:shd w:fill="F6F5F7"/>
          </w:tcPr>
          <w:p>
            <w:pPr>
              <w:spacing w:after="40"/>
              <w:jc w:val="left"/>
            </w:pPr>
            <w:r>
              <w:rPr>
                <w:sz w:val="16"/>
              </w:rPr>
              <w:t>Negative-Slack exposure</w:t>
            </w:r>
          </w:p>
        </w:tc>
        <w:tc>
          <w:tcPr>
            <w:tcW w:type="dxa" w:w="3384"/>
            <w:vAlign w:val="top"/>
            <w:tcMar>
              <w:top w:w="80" w:type="dxa"/>
              <w:start w:w="120" w:type="dxa"/>
              <w:bottom w:w="80" w:type="dxa"/>
              <w:end w:w="120" w:type="dxa"/>
            </w:tcMar>
            <w:shd w:fill="F6F5F7"/>
          </w:tcPr>
          <w:p>
            <w:pPr>
              <w:spacing w:after="40"/>
              <w:jc w:val="left"/>
            </w:pPr>
            <w:r>
              <w:rPr>
                <w:sz w:val="16"/>
              </w:rPr>
              <w:t>14.0% fewer negative-Slack minutes</w:t>
            </w:r>
          </w:p>
        </w:tc>
        <w:tc>
          <w:tcPr>
            <w:tcW w:type="dxa" w:w="3888"/>
            <w:vAlign w:val="top"/>
            <w:tcMar>
              <w:top w:w="80" w:type="dxa"/>
              <w:start w:w="120" w:type="dxa"/>
              <w:bottom w:w="80" w:type="dxa"/>
              <w:end w:w="120" w:type="dxa"/>
            </w:tcMar>
            <w:shd w:fill="F6F5F7"/>
          </w:tcPr>
          <w:p>
            <w:pPr>
              <w:spacing w:after="40"/>
              <w:jc w:val="left"/>
            </w:pPr>
            <w:r>
              <w:rPr>
                <w:sz w:val="16"/>
              </w:rPr>
              <w:t>Suggests earlier recognition/handling of infeasible waits in the simulation.</w:t>
            </w:r>
          </w:p>
        </w:tc>
      </w:tr>
      <w:tr>
        <w:trPr>
          <w:cantSplit/>
        </w:trPr>
        <w:tc>
          <w:tcPr>
            <w:tcW w:type="dxa" w:w="2376"/>
            <w:vAlign w:val="top"/>
            <w:tcMar>
              <w:top w:w="80" w:type="dxa"/>
              <w:start w:w="120" w:type="dxa"/>
              <w:bottom w:w="80" w:type="dxa"/>
              <w:end w:w="120" w:type="dxa"/>
            </w:tcMar>
          </w:tcPr>
          <w:p>
            <w:pPr>
              <w:spacing w:after="40"/>
              <w:jc w:val="left"/>
            </w:pPr>
            <w:r>
              <w:rPr>
                <w:sz w:val="16"/>
              </w:rPr>
              <w:t>Signal-to-action</w:t>
            </w:r>
          </w:p>
        </w:tc>
        <w:tc>
          <w:tcPr>
            <w:tcW w:type="dxa" w:w="3384"/>
            <w:vAlign w:val="top"/>
            <w:tcMar>
              <w:top w:w="80" w:type="dxa"/>
              <w:start w:w="120" w:type="dxa"/>
              <w:bottom w:w="80" w:type="dxa"/>
              <w:end w:w="120" w:type="dxa"/>
            </w:tcMar>
          </w:tcPr>
          <w:p>
            <w:pPr>
              <w:spacing w:after="40"/>
              <w:jc w:val="left"/>
            </w:pPr>
            <w:r>
              <w:rPr>
                <w:sz w:val="16"/>
              </w:rPr>
              <w:t>15.7% faster</w:t>
            </w:r>
          </w:p>
        </w:tc>
        <w:tc>
          <w:tcPr>
            <w:tcW w:type="dxa" w:w="3888"/>
            <w:vAlign w:val="top"/>
            <w:tcMar>
              <w:top w:w="80" w:type="dxa"/>
              <w:start w:w="120" w:type="dxa"/>
              <w:bottom w:w="80" w:type="dxa"/>
              <w:end w:w="120" w:type="dxa"/>
            </w:tcMar>
          </w:tcPr>
          <w:p>
            <w:pPr>
              <w:spacing w:after="40"/>
              <w:jc w:val="left"/>
            </w:pPr>
            <w:r>
              <w:rPr>
                <w:sz w:val="16"/>
              </w:rPr>
              <w:t>Synthetic operational result, not a clinical outcome.</w:t>
            </w:r>
          </w:p>
        </w:tc>
      </w:tr>
      <w:tr>
        <w:trPr>
          <w:cantSplit/>
        </w:trPr>
        <w:tc>
          <w:tcPr>
            <w:tcW w:type="dxa" w:w="2376"/>
            <w:vAlign w:val="top"/>
            <w:tcMar>
              <w:top w:w="80" w:type="dxa"/>
              <w:start w:w="120" w:type="dxa"/>
              <w:bottom w:w="80" w:type="dxa"/>
              <w:end w:w="120" w:type="dxa"/>
            </w:tcMar>
            <w:shd w:fill="F6F5F7"/>
          </w:tcPr>
          <w:p>
            <w:pPr>
              <w:spacing w:after="40"/>
              <w:jc w:val="left"/>
            </w:pPr>
            <w:r>
              <w:rPr>
                <w:sz w:val="16"/>
              </w:rPr>
              <w:t>Low-acuity P90 wait</w:t>
            </w:r>
          </w:p>
        </w:tc>
        <w:tc>
          <w:tcPr>
            <w:tcW w:type="dxa" w:w="3384"/>
            <w:vAlign w:val="top"/>
            <w:tcMar>
              <w:top w:w="80" w:type="dxa"/>
              <w:start w:w="120" w:type="dxa"/>
              <w:bottom w:w="80" w:type="dxa"/>
              <w:end w:w="120" w:type="dxa"/>
            </w:tcMar>
            <w:shd w:fill="F6F5F7"/>
          </w:tcPr>
          <w:p>
            <w:pPr>
              <w:spacing w:after="40"/>
              <w:jc w:val="left"/>
            </w:pPr>
            <w:r>
              <w:rPr>
                <w:sz w:val="16"/>
              </w:rPr>
              <w:t>14.4% lower</w:t>
            </w:r>
          </w:p>
        </w:tc>
        <w:tc>
          <w:tcPr>
            <w:tcW w:type="dxa" w:w="3888"/>
            <w:vAlign w:val="top"/>
            <w:tcMar>
              <w:top w:w="80" w:type="dxa"/>
              <w:start w:w="120" w:type="dxa"/>
              <w:bottom w:w="80" w:type="dxa"/>
              <w:end w:w="120" w:type="dxa"/>
            </w:tcMar>
            <w:shd w:fill="F6F5F7"/>
          </w:tcPr>
          <w:p>
            <w:pPr>
              <w:spacing w:after="40"/>
              <w:jc w:val="left"/>
            </w:pPr>
            <w:r>
              <w:rPr>
                <w:sz w:val="16"/>
              </w:rPr>
              <w:t>No starvation signal in the registered synthetic comparison.</w:t>
            </w:r>
          </w:p>
        </w:tc>
      </w:tr>
      <w:tr>
        <w:trPr>
          <w:cantSplit/>
        </w:trPr>
        <w:tc>
          <w:tcPr>
            <w:tcW w:type="dxa" w:w="2376"/>
            <w:vAlign w:val="top"/>
            <w:tcMar>
              <w:top w:w="80" w:type="dxa"/>
              <w:start w:w="120" w:type="dxa"/>
              <w:bottom w:w="80" w:type="dxa"/>
              <w:end w:w="120" w:type="dxa"/>
            </w:tcMar>
          </w:tcPr>
          <w:p>
            <w:pPr>
              <w:spacing w:after="40"/>
              <w:jc w:val="left"/>
            </w:pPr>
            <w:r>
              <w:rPr>
                <w:sz w:val="16"/>
              </w:rPr>
              <w:t>Automated verification</w:t>
            </w:r>
          </w:p>
        </w:tc>
        <w:tc>
          <w:tcPr>
            <w:tcW w:type="dxa" w:w="3384"/>
            <w:vAlign w:val="top"/>
            <w:tcMar>
              <w:top w:w="80" w:type="dxa"/>
              <w:start w:w="120" w:type="dxa"/>
              <w:bottom w:w="80" w:type="dxa"/>
              <w:end w:w="120" w:type="dxa"/>
            </w:tcMar>
          </w:tcPr>
          <w:p>
            <w:pPr>
              <w:spacing w:after="40"/>
              <w:jc w:val="left"/>
            </w:pPr>
            <w:r>
              <w:rPr>
                <w:sz w:val="16"/>
              </w:rPr>
              <w:t>73 tests (71-test TL-05 baseline + 2 TL-06.5 regressions), production build and deterministic reruns</w:t>
            </w:r>
          </w:p>
        </w:tc>
        <w:tc>
          <w:tcPr>
            <w:tcW w:type="dxa" w:w="3888"/>
            <w:vAlign w:val="top"/>
            <w:tcMar>
              <w:top w:w="80" w:type="dxa"/>
              <w:start w:w="120" w:type="dxa"/>
              <w:bottom w:w="80" w:type="dxa"/>
              <w:end w:w="120" w:type="dxa"/>
            </w:tcMar>
          </w:tcPr>
          <w:p>
            <w:pPr>
              <w:spacing w:after="40"/>
              <w:jc w:val="left"/>
            </w:pPr>
            <w:r>
              <w:rPr>
                <w:sz w:val="16"/>
              </w:rPr>
              <w:t>Covers contracts, safety gates, scenarios, queue logic, decisions and audit.</w:t>
            </w:r>
          </w:p>
        </w:tc>
      </w:tr>
      <w:tr>
        <w:trPr>
          <w:cantSplit/>
        </w:trPr>
        <w:tc>
          <w:tcPr>
            <w:tcW w:type="dxa" w:w="2376"/>
            <w:vAlign w:val="top"/>
            <w:tcMar>
              <w:top w:w="80" w:type="dxa"/>
              <w:start w:w="120" w:type="dxa"/>
              <w:bottom w:w="80" w:type="dxa"/>
              <w:end w:w="120" w:type="dxa"/>
            </w:tcMar>
            <w:shd w:fill="F6F5F7"/>
          </w:tcPr>
          <w:p>
            <w:pPr>
              <w:spacing w:after="40"/>
              <w:jc w:val="left"/>
            </w:pPr>
            <w:r>
              <w:rPr>
                <w:sz w:val="16"/>
              </w:rPr>
              <w:t>Next Best Observation gate</w:t>
            </w:r>
          </w:p>
        </w:tc>
        <w:tc>
          <w:tcPr>
            <w:tcW w:type="dxa" w:w="3384"/>
            <w:vAlign w:val="top"/>
            <w:tcMar>
              <w:top w:w="80" w:type="dxa"/>
              <w:start w:w="120" w:type="dxa"/>
              <w:bottom w:w="80" w:type="dxa"/>
              <w:end w:w="120" w:type="dxa"/>
            </w:tcMar>
            <w:shd w:fill="F6F5F7"/>
          </w:tcPr>
          <w:p>
            <w:pPr>
              <w:spacing w:after="40"/>
              <w:jc w:val="left"/>
            </w:pPr>
            <w:r>
              <w:rPr>
                <w:sz w:val="16"/>
              </w:rPr>
              <w:t>87.5% fewer observations; −7.1 percentage points operational critical recall</w:t>
            </w:r>
          </w:p>
        </w:tc>
        <w:tc>
          <w:tcPr>
            <w:tcW w:type="dxa" w:w="3888"/>
            <w:vAlign w:val="top"/>
            <w:tcMar>
              <w:top w:w="80" w:type="dxa"/>
              <w:start w:w="120" w:type="dxa"/>
              <w:bottom w:w="80" w:type="dxa"/>
              <w:end w:w="120" w:type="dxa"/>
            </w:tcMar>
            <w:shd w:fill="F6F5F7"/>
          </w:tcPr>
          <w:p>
            <w:pPr>
              <w:spacing w:after="40"/>
              <w:jc w:val="left"/>
            </w:pPr>
            <w:r>
              <w:rPr>
                <w:sz w:val="16"/>
              </w:rPr>
              <w:t>FAILED the fixed ≤2-point loss gate; cannot replace full reassessment.</w:t>
            </w:r>
          </w:p>
        </w:tc>
      </w:tr>
    </w:tbl>
    <w:p>
      <w:pPr>
        <w:spacing w:after="20"/>
      </w:pPr>
    </w:p>
    <w:p>
      <w:pPr>
        <w:pStyle w:val="Heading2"/>
        <w:keepNext/>
      </w:pPr>
      <w:r>
        <w:t>Credibility by design</w:t>
      </w:r>
    </w:p>
    <w:p>
      <w:pPr>
        <w:keepLines/>
      </w:pPr>
      <w:r>
        <w:t>The single-observation NBO result is deliberately retained. The product therefore calls it a first measurement suggestion, shows the full reassessment/escalation fallback, and prohibits workload-saving or clearance claims. This is an example of the governance expected for every future model feature: predeclare a safety gate, publish the result and constrain the product when the hypothesis fails.</w:t>
      </w:r>
    </w:p>
    <w:p>
      <w:pPr>
        <w:pStyle w:val="Heading2"/>
        <w:keepNext/>
      </w:pPr>
      <w:r>
        <w:t>Comparator discipline</w:t>
      </w:r>
    </w:p>
    <w:p>
      <w:pPr>
        <w:keepLines/>
      </w:pPr>
      <w:r>
        <w:t>A simpler initial-category static comparator produced a larger 36.0% relative reduction, but it ignores later observations. The proposal therefore leads with fixed 15-minute periodic re-triage. In a TL-06.5 post-verification sensitivity run against that same periodic comparator, the relative reduction was 12.8% at 10 minutes, 13.0% at 20 minutes and 24.1% at 30 minutes; only 30 minutes exceeded 20%. This was not a retroactively registered TL-05 gate, so no universal ‘20%+’ claim is permitted.</w:t>
      </w:r>
    </w:p>
    <w:p>
      <w:r>
        <w:br w:type="page"/>
      </w:r>
    </w:p>
    <w:p>
      <w:pPr>
        <w:pStyle w:val="Heading1"/>
        <w:keepNext/>
      </w:pPr>
      <w:r>
        <w:t>8. Safety, governance and privacy</w:t>
      </w:r>
    </w:p>
    <w:p>
      <w:pPr>
        <w:pStyle w:val="Subtitle"/>
        <w:spacing w:after="200"/>
      </w:pPr>
      <w:r>
        <w:t>A decision-support layer that earns trust before scale</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800"/>
            <w:shd w:fill="52163E"/>
            <w:vAlign w:val="center"/>
            <w:tcMar>
              <w:top w:w="80" w:type="dxa"/>
              <w:start w:w="120" w:type="dxa"/>
              <w:bottom w:w="80" w:type="dxa"/>
              <w:end w:w="120" w:type="dxa"/>
            </w:tcMar>
          </w:tcPr>
          <w:p>
            <w:pPr>
              <w:jc w:val="left"/>
            </w:pPr>
            <w:r>
              <w:rPr>
                <w:b/>
                <w:color w:val="FFFFFF"/>
                <w:sz w:val="17"/>
              </w:rPr>
              <w:t>Control</w:t>
            </w:r>
          </w:p>
        </w:tc>
        <w:tc>
          <w:tcPr>
            <w:tcW w:type="dxa" w:w="3672"/>
            <w:shd w:fill="52163E"/>
            <w:vAlign w:val="center"/>
            <w:tcMar>
              <w:top w:w="80" w:type="dxa"/>
              <w:start w:w="120" w:type="dxa"/>
              <w:bottom w:w="80" w:type="dxa"/>
              <w:end w:w="120" w:type="dxa"/>
            </w:tcMar>
          </w:tcPr>
          <w:p>
            <w:pPr>
              <w:jc w:val="left"/>
            </w:pPr>
            <w:r>
              <w:rPr>
                <w:b/>
                <w:color w:val="FFFFFF"/>
                <w:sz w:val="17"/>
              </w:rPr>
              <w:t>Prototype evidence</w:t>
            </w:r>
          </w:p>
        </w:tc>
        <w:tc>
          <w:tcPr>
            <w:tcW w:type="dxa" w:w="4176"/>
            <w:shd w:fill="52163E"/>
            <w:vAlign w:val="center"/>
            <w:tcMar>
              <w:top w:w="80" w:type="dxa"/>
              <w:start w:w="120" w:type="dxa"/>
              <w:bottom w:w="80" w:type="dxa"/>
              <w:end w:w="120" w:type="dxa"/>
            </w:tcMar>
          </w:tcPr>
          <w:p>
            <w:pPr>
              <w:jc w:val="left"/>
            </w:pPr>
            <w:r>
              <w:rPr>
                <w:b/>
                <w:color w:val="FFFFFF"/>
                <w:sz w:val="17"/>
              </w:rPr>
              <w:t>Deployment requirement</w:t>
            </w:r>
          </w:p>
        </w:tc>
      </w:tr>
      <w:tr>
        <w:trPr>
          <w:cantSplit/>
        </w:trPr>
        <w:tc>
          <w:tcPr>
            <w:tcW w:type="dxa" w:w="1800"/>
            <w:vAlign w:val="top"/>
            <w:tcMar>
              <w:top w:w="80" w:type="dxa"/>
              <w:start w:w="120" w:type="dxa"/>
              <w:bottom w:w="80" w:type="dxa"/>
              <w:end w:w="120" w:type="dxa"/>
            </w:tcMar>
          </w:tcPr>
          <w:p>
            <w:pPr>
              <w:spacing w:after="40"/>
              <w:jc w:val="left"/>
            </w:pPr>
            <w:r>
              <w:rPr>
                <w:sz w:val="16"/>
              </w:rPr>
              <w:t>Human oversight</w:t>
            </w:r>
          </w:p>
        </w:tc>
        <w:tc>
          <w:tcPr>
            <w:tcW w:type="dxa" w:w="3672"/>
            <w:vAlign w:val="top"/>
            <w:tcMar>
              <w:top w:w="80" w:type="dxa"/>
              <w:start w:w="120" w:type="dxa"/>
              <w:bottom w:w="80" w:type="dxa"/>
              <w:end w:w="120" w:type="dxa"/>
            </w:tcMar>
          </w:tcPr>
          <w:p>
            <w:pPr>
              <w:spacing w:after="40"/>
              <w:jc w:val="left"/>
            </w:pPr>
            <w:r>
              <w:rPr>
                <w:sz w:val="16"/>
              </w:rPr>
              <w:t>Accept / modify / override; reasons required for modify/override</w:t>
            </w:r>
          </w:p>
        </w:tc>
        <w:tc>
          <w:tcPr>
            <w:tcW w:type="dxa" w:w="4176"/>
            <w:vAlign w:val="top"/>
            <w:tcMar>
              <w:top w:w="80" w:type="dxa"/>
              <w:start w:w="120" w:type="dxa"/>
              <w:bottom w:w="80" w:type="dxa"/>
              <w:end w:w="120" w:type="dxa"/>
            </w:tcMar>
          </w:tcPr>
          <w:p>
            <w:pPr>
              <w:spacing w:after="40"/>
              <w:jc w:val="left"/>
            </w:pPr>
            <w:r>
              <w:rPr>
                <w:sz w:val="16"/>
              </w:rPr>
              <w:t>Hospital-approved SOP, responsibility mapping and escalation protocol.</w:t>
            </w:r>
          </w:p>
        </w:tc>
      </w:tr>
      <w:tr>
        <w:trPr>
          <w:cantSplit/>
        </w:trPr>
        <w:tc>
          <w:tcPr>
            <w:tcW w:type="dxa" w:w="1800"/>
            <w:vAlign w:val="top"/>
            <w:tcMar>
              <w:top w:w="80" w:type="dxa"/>
              <w:start w:w="120" w:type="dxa"/>
              <w:bottom w:w="80" w:type="dxa"/>
              <w:end w:w="120" w:type="dxa"/>
            </w:tcMar>
            <w:shd w:fill="F6F5F7"/>
          </w:tcPr>
          <w:p>
            <w:pPr>
              <w:spacing w:after="40"/>
              <w:jc w:val="left"/>
            </w:pPr>
            <w:r>
              <w:rPr>
                <w:sz w:val="16"/>
              </w:rPr>
              <w:t>No autonomous downgrade</w:t>
            </w:r>
          </w:p>
        </w:tc>
        <w:tc>
          <w:tcPr>
            <w:tcW w:type="dxa" w:w="3672"/>
            <w:vAlign w:val="top"/>
            <w:tcMar>
              <w:top w:w="80" w:type="dxa"/>
              <w:start w:w="120" w:type="dxa"/>
              <w:bottom w:w="80" w:type="dxa"/>
              <w:end w:w="120" w:type="dxa"/>
            </w:tcMar>
            <w:shd w:fill="F6F5F7"/>
          </w:tcPr>
          <w:p>
            <w:pPr>
              <w:spacing w:after="40"/>
              <w:jc w:val="left"/>
            </w:pPr>
            <w:r>
              <w:rPr>
                <w:sz w:val="16"/>
              </w:rPr>
              <w:t>Rules can promote urgency; model cannot suppress a hard red flag</w:t>
            </w:r>
          </w:p>
        </w:tc>
        <w:tc>
          <w:tcPr>
            <w:tcW w:type="dxa" w:w="4176"/>
            <w:vAlign w:val="top"/>
            <w:tcMar>
              <w:top w:w="80" w:type="dxa"/>
              <w:start w:w="120" w:type="dxa"/>
              <w:bottom w:w="80" w:type="dxa"/>
              <w:end w:w="120" w:type="dxa"/>
            </w:tcMar>
            <w:shd w:fill="F6F5F7"/>
          </w:tcPr>
          <w:p>
            <w:pPr>
              <w:spacing w:after="40"/>
              <w:jc w:val="left"/>
            </w:pPr>
            <w:r>
              <w:rPr>
                <w:sz w:val="16"/>
              </w:rPr>
              <w:t>Independent clinical safety review and locked configuration governance.</w:t>
            </w:r>
          </w:p>
        </w:tc>
      </w:tr>
      <w:tr>
        <w:trPr>
          <w:cantSplit/>
        </w:trPr>
        <w:tc>
          <w:tcPr>
            <w:tcW w:type="dxa" w:w="1800"/>
            <w:vAlign w:val="top"/>
            <w:tcMar>
              <w:top w:w="80" w:type="dxa"/>
              <w:start w:w="120" w:type="dxa"/>
              <w:bottom w:w="80" w:type="dxa"/>
              <w:end w:w="120" w:type="dxa"/>
            </w:tcMar>
          </w:tcPr>
          <w:p>
            <w:pPr>
              <w:spacing w:after="40"/>
              <w:jc w:val="left"/>
            </w:pPr>
            <w:r>
              <w:rPr>
                <w:sz w:val="16"/>
              </w:rPr>
              <w:t>Uncertainty</w:t>
            </w:r>
          </w:p>
        </w:tc>
        <w:tc>
          <w:tcPr>
            <w:tcW w:type="dxa" w:w="3672"/>
            <w:vAlign w:val="top"/>
            <w:tcMar>
              <w:top w:w="80" w:type="dxa"/>
              <w:start w:w="120" w:type="dxa"/>
              <w:bottom w:w="80" w:type="dxa"/>
              <w:end w:w="120" w:type="dxa"/>
            </w:tcMar>
          </w:tcPr>
          <w:p>
            <w:pPr>
              <w:spacing w:after="40"/>
              <w:jc w:val="left"/>
            </w:pPr>
            <w:r>
              <w:rPr>
                <w:sz w:val="16"/>
              </w:rPr>
              <w:t>Safe Mode for missing/stale/implausible/OOD/ambiguous inputs</w:t>
            </w:r>
          </w:p>
        </w:tc>
        <w:tc>
          <w:tcPr>
            <w:tcW w:type="dxa" w:w="4176"/>
            <w:vAlign w:val="top"/>
            <w:tcMar>
              <w:top w:w="80" w:type="dxa"/>
              <w:start w:w="120" w:type="dxa"/>
              <w:bottom w:w="80" w:type="dxa"/>
              <w:end w:w="120" w:type="dxa"/>
            </w:tcMar>
          </w:tcPr>
          <w:p>
            <w:pPr>
              <w:spacing w:after="40"/>
              <w:jc w:val="left"/>
            </w:pPr>
            <w:r>
              <w:rPr>
                <w:sz w:val="16"/>
              </w:rPr>
              <w:t>Local recalibration, drift thresholds and monitored abstention rate.</w:t>
            </w:r>
          </w:p>
        </w:tc>
      </w:tr>
      <w:tr>
        <w:trPr>
          <w:cantSplit/>
        </w:trPr>
        <w:tc>
          <w:tcPr>
            <w:tcW w:type="dxa" w:w="1800"/>
            <w:vAlign w:val="top"/>
            <w:tcMar>
              <w:top w:w="80" w:type="dxa"/>
              <w:start w:w="120" w:type="dxa"/>
              <w:bottom w:w="80" w:type="dxa"/>
              <w:end w:w="120" w:type="dxa"/>
            </w:tcMar>
            <w:shd w:fill="F6F5F7"/>
          </w:tcPr>
          <w:p>
            <w:pPr>
              <w:spacing w:after="40"/>
              <w:jc w:val="left"/>
            </w:pPr>
            <w:r>
              <w:rPr>
                <w:sz w:val="16"/>
              </w:rPr>
              <w:t>Auditability</w:t>
            </w:r>
          </w:p>
        </w:tc>
        <w:tc>
          <w:tcPr>
            <w:tcW w:type="dxa" w:w="3672"/>
            <w:vAlign w:val="top"/>
            <w:tcMar>
              <w:top w:w="80" w:type="dxa"/>
              <w:start w:w="120" w:type="dxa"/>
              <w:bottom w:w="80" w:type="dxa"/>
              <w:end w:w="120" w:type="dxa"/>
            </w:tcMar>
            <w:shd w:fill="F6F5F7"/>
          </w:tcPr>
          <w:p>
            <w:pPr>
              <w:spacing w:after="40"/>
              <w:jc w:val="left"/>
            </w:pPr>
            <w:r>
              <w:rPr>
                <w:sz w:val="16"/>
              </w:rPr>
              <w:t>Recommendation and decision linked in a recomputed hash chain</w:t>
            </w:r>
          </w:p>
        </w:tc>
        <w:tc>
          <w:tcPr>
            <w:tcW w:type="dxa" w:w="4176"/>
            <w:vAlign w:val="top"/>
            <w:tcMar>
              <w:top w:w="80" w:type="dxa"/>
              <w:start w:w="120" w:type="dxa"/>
              <w:bottom w:w="80" w:type="dxa"/>
              <w:end w:w="120" w:type="dxa"/>
            </w:tcMar>
            <w:shd w:fill="F6F5F7"/>
          </w:tcPr>
          <w:p>
            <w:pPr>
              <w:spacing w:after="40"/>
              <w:jc w:val="left"/>
            </w:pPr>
            <w:r>
              <w:rPr>
                <w:sz w:val="16"/>
              </w:rPr>
              <w:t>Durable store, access controls, retention, time synchronization and external audit.</w:t>
            </w:r>
          </w:p>
        </w:tc>
      </w:tr>
      <w:tr>
        <w:trPr>
          <w:cantSplit/>
        </w:trPr>
        <w:tc>
          <w:tcPr>
            <w:tcW w:type="dxa" w:w="1800"/>
            <w:vAlign w:val="top"/>
            <w:tcMar>
              <w:top w:w="80" w:type="dxa"/>
              <w:start w:w="120" w:type="dxa"/>
              <w:bottom w:w="80" w:type="dxa"/>
              <w:end w:w="120" w:type="dxa"/>
            </w:tcMar>
          </w:tcPr>
          <w:p>
            <w:pPr>
              <w:spacing w:after="40"/>
              <w:jc w:val="left"/>
            </w:pPr>
            <w:r>
              <w:rPr>
                <w:sz w:val="16"/>
              </w:rPr>
              <w:t>Data minimization</w:t>
            </w:r>
          </w:p>
        </w:tc>
        <w:tc>
          <w:tcPr>
            <w:tcW w:type="dxa" w:w="3672"/>
            <w:vAlign w:val="top"/>
            <w:tcMar>
              <w:top w:w="80" w:type="dxa"/>
              <w:start w:w="120" w:type="dxa"/>
              <w:bottom w:w="80" w:type="dxa"/>
              <w:end w:w="120" w:type="dxa"/>
            </w:tcMar>
          </w:tcPr>
          <w:p>
            <w:pPr>
              <w:spacing w:after="40"/>
              <w:jc w:val="left"/>
            </w:pPr>
            <w:r>
              <w:rPr>
                <w:sz w:val="16"/>
              </w:rPr>
              <w:t>Pseudonymous synthetic-only prototype; direct identifiers rejected</w:t>
            </w:r>
          </w:p>
        </w:tc>
        <w:tc>
          <w:tcPr>
            <w:tcW w:type="dxa" w:w="4176"/>
            <w:vAlign w:val="top"/>
            <w:tcMar>
              <w:top w:w="80" w:type="dxa"/>
              <w:start w:w="120" w:type="dxa"/>
              <w:bottom w:w="80" w:type="dxa"/>
              <w:end w:w="120" w:type="dxa"/>
            </w:tcMar>
          </w:tcPr>
          <w:p>
            <w:pPr>
              <w:spacing w:after="40"/>
              <w:jc w:val="left"/>
            </w:pPr>
            <w:r>
              <w:rPr>
                <w:sz w:val="16"/>
              </w:rPr>
              <w:t>Purpose limitation, minimum necessary fields, approved retention and incident process.</w:t>
            </w:r>
          </w:p>
        </w:tc>
      </w:tr>
      <w:tr>
        <w:trPr>
          <w:cantSplit/>
        </w:trPr>
        <w:tc>
          <w:tcPr>
            <w:tcW w:type="dxa" w:w="1800"/>
            <w:vAlign w:val="top"/>
            <w:tcMar>
              <w:top w:w="80" w:type="dxa"/>
              <w:start w:w="120" w:type="dxa"/>
              <w:bottom w:w="80" w:type="dxa"/>
              <w:end w:w="120" w:type="dxa"/>
            </w:tcMar>
            <w:shd w:fill="F6F5F7"/>
          </w:tcPr>
          <w:p>
            <w:pPr>
              <w:spacing w:after="40"/>
              <w:jc w:val="left"/>
            </w:pPr>
            <w:r>
              <w:rPr>
                <w:sz w:val="16"/>
              </w:rPr>
              <w:t>Availability</w:t>
            </w:r>
          </w:p>
        </w:tc>
        <w:tc>
          <w:tcPr>
            <w:tcW w:type="dxa" w:w="3672"/>
            <w:vAlign w:val="top"/>
            <w:tcMar>
              <w:top w:w="80" w:type="dxa"/>
              <w:start w:w="120" w:type="dxa"/>
              <w:bottom w:w="80" w:type="dxa"/>
              <w:end w:w="120" w:type="dxa"/>
            </w:tcMar>
            <w:shd w:fill="F6F5F7"/>
          </w:tcPr>
          <w:p>
            <w:pPr>
              <w:spacing w:after="40"/>
              <w:jc w:val="left"/>
            </w:pPr>
            <w:r>
              <w:rPr>
                <w:sz w:val="16"/>
              </w:rPr>
              <w:t>Rules/category fallback, unknown feasibility state, polling/manual refresh</w:t>
            </w:r>
          </w:p>
        </w:tc>
        <w:tc>
          <w:tcPr>
            <w:tcW w:type="dxa" w:w="4176"/>
            <w:vAlign w:val="top"/>
            <w:tcMar>
              <w:top w:w="80" w:type="dxa"/>
              <w:start w:w="120" w:type="dxa"/>
              <w:bottom w:w="80" w:type="dxa"/>
              <w:end w:w="120" w:type="dxa"/>
            </w:tcMar>
            <w:shd w:fill="F6F5F7"/>
          </w:tcPr>
          <w:p>
            <w:pPr>
              <w:spacing w:after="40"/>
              <w:jc w:val="left"/>
            </w:pPr>
            <w:r>
              <w:rPr>
                <w:sz w:val="16"/>
              </w:rPr>
              <w:t>Downtime procedure, redundancy, monitoring, recovery objectives and drills.</w:t>
            </w:r>
          </w:p>
        </w:tc>
      </w:tr>
    </w:tbl>
    <w:p>
      <w:pPr>
        <w:spacing w:after="20"/>
      </w:pPr>
    </w:p>
    <w:p>
      <w:pPr>
        <w:pStyle w:val="Heading2"/>
        <w:keepNext/>
      </w:pPr>
      <w:r>
        <w:t>India deployment context</w:t>
      </w:r>
    </w:p>
    <w:p>
      <w:pPr>
        <w:keepLines/>
      </w:pPr>
      <w:r>
        <w:t>Any deployment would require hospital legal, information-security and clinical-governance review against the Digital Personal Data Protection Act 2023, the phased DPDP Rules 2025, the ABDM Health Data Management Policy and applicable Indian EHR standards. Referencing these instruments is a design baseline—not a declaration of compliance or regulatory status.</w:t>
      </w:r>
    </w:p>
    <w:p>
      <w:pPr>
        <w:spacing w:before="100" w:after="160" w:line="269" w:lineRule="auto"/>
        <w:ind w:left="115" w:right="115"/>
        <w:shd w:fill="FEECEB"/>
        <w:jc w:val="left"/>
        <w:keepLines/>
      </w:pPr>
      <w:r>
        <w:rPr>
          <w:b/>
          <w:color w:val="B42318"/>
        </w:rPr>
        <w:t xml:space="preserve">Release blockers  </w:t>
      </w:r>
      <w:r>
        <w:t>Autonomous downgrade; suppressed hard red flag; missing uncertainty state; age-band rule leakage; unlogged clinician decision; unsupported impact claim; broken hero journey; or irreproducible evaluation.</w:t>
      </w:r>
    </w:p>
    <w:p>
      <w:r>
        <w:br w:type="page"/>
      </w:r>
    </w:p>
    <w:p>
      <w:pPr>
        <w:pStyle w:val="Heading1"/>
        <w:keepNext/>
      </w:pPr>
      <w:r>
        <w:t>9. Business case</w:t>
      </w:r>
    </w:p>
    <w:p>
      <w:pPr>
        <w:pStyle w:val="Subtitle"/>
        <w:spacing w:after="200"/>
      </w:pPr>
      <w:r>
        <w:t>Measure value before monetizing it</w:t>
      </w:r>
    </w:p>
    <w:p>
      <w:pPr>
        <w:pStyle w:val="Heading2"/>
        <w:keepNext/>
      </w:pPr>
      <w:r>
        <w:t>Value hypothesis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880"/>
            <w:shd w:fill="52163E"/>
            <w:vAlign w:val="center"/>
            <w:tcMar>
              <w:top w:w="80" w:type="dxa"/>
              <w:start w:w="120" w:type="dxa"/>
              <w:bottom w:w="80" w:type="dxa"/>
              <w:end w:w="120" w:type="dxa"/>
            </w:tcMar>
          </w:tcPr>
          <w:p>
            <w:pPr>
              <w:jc w:val="left"/>
            </w:pPr>
            <w:r>
              <w:rPr>
                <w:b/>
                <w:color w:val="FFFFFF"/>
                <w:sz w:val="17"/>
              </w:rPr>
              <w:t>Value lever</w:t>
            </w:r>
          </w:p>
        </w:tc>
        <w:tc>
          <w:tcPr>
            <w:tcW w:type="dxa" w:w="4536"/>
            <w:shd w:fill="52163E"/>
            <w:vAlign w:val="center"/>
            <w:tcMar>
              <w:top w:w="80" w:type="dxa"/>
              <w:start w:w="120" w:type="dxa"/>
              <w:bottom w:w="80" w:type="dxa"/>
              <w:end w:w="120" w:type="dxa"/>
            </w:tcMar>
          </w:tcPr>
          <w:p>
            <w:pPr>
              <w:jc w:val="left"/>
            </w:pPr>
            <w:r>
              <w:rPr>
                <w:b/>
                <w:color w:val="FFFFFF"/>
                <w:sz w:val="17"/>
              </w:rPr>
              <w:t>Pilot measure</w:t>
            </w:r>
          </w:p>
        </w:tc>
        <w:tc>
          <w:tcPr>
            <w:tcW w:type="dxa" w:w="2232"/>
            <w:shd w:fill="52163E"/>
            <w:vAlign w:val="center"/>
            <w:tcMar>
              <w:top w:w="80" w:type="dxa"/>
              <w:start w:w="120" w:type="dxa"/>
              <w:bottom w:w="80" w:type="dxa"/>
              <w:end w:w="120" w:type="dxa"/>
            </w:tcMar>
          </w:tcPr>
          <w:p>
            <w:pPr>
              <w:jc w:val="left"/>
            </w:pPr>
            <w:r>
              <w:rPr>
                <w:b/>
                <w:color w:val="FFFFFF"/>
                <w:sz w:val="17"/>
              </w:rPr>
              <w:t>Who benefits</w:t>
            </w:r>
          </w:p>
        </w:tc>
      </w:tr>
      <w:tr>
        <w:trPr>
          <w:cantSplit/>
        </w:trPr>
        <w:tc>
          <w:tcPr>
            <w:tcW w:type="dxa" w:w="2880"/>
            <w:vAlign w:val="top"/>
            <w:tcMar>
              <w:top w:w="80" w:type="dxa"/>
              <w:start w:w="120" w:type="dxa"/>
              <w:bottom w:w="80" w:type="dxa"/>
              <w:end w:w="120" w:type="dxa"/>
            </w:tcMar>
          </w:tcPr>
          <w:p>
            <w:pPr>
              <w:spacing w:after="40"/>
              <w:jc w:val="left"/>
            </w:pPr>
            <w:r>
              <w:rPr>
                <w:sz w:val="16"/>
              </w:rPr>
              <w:t>Fewer missed reassessment/action windows</w:t>
            </w:r>
          </w:p>
        </w:tc>
        <w:tc>
          <w:tcPr>
            <w:tcW w:type="dxa" w:w="4536"/>
            <w:vAlign w:val="top"/>
            <w:tcMar>
              <w:top w:w="80" w:type="dxa"/>
              <w:start w:w="120" w:type="dxa"/>
              <w:bottom w:w="80" w:type="dxa"/>
              <w:end w:w="120" w:type="dxa"/>
            </w:tcMar>
          </w:tcPr>
          <w:p>
            <w:pPr>
              <w:spacing w:after="40"/>
              <w:jc w:val="left"/>
            </w:pPr>
            <w:r>
              <w:rPr>
                <w:sz w:val="16"/>
              </w:rPr>
              <w:t>Baseline vs shadow-mode Action Window adherence, stratified by acuity and age band</w:t>
            </w:r>
          </w:p>
        </w:tc>
        <w:tc>
          <w:tcPr>
            <w:tcW w:type="dxa" w:w="2232"/>
            <w:vAlign w:val="top"/>
            <w:tcMar>
              <w:top w:w="80" w:type="dxa"/>
              <w:start w:w="120" w:type="dxa"/>
              <w:bottom w:w="80" w:type="dxa"/>
              <w:end w:w="120" w:type="dxa"/>
            </w:tcMar>
          </w:tcPr>
          <w:p>
            <w:pPr>
              <w:spacing w:after="40"/>
              <w:jc w:val="left"/>
            </w:pPr>
            <w:r>
              <w:rPr>
                <w:sz w:val="16"/>
              </w:rPr>
              <w:t>Patients, triage and quality teams</w:t>
            </w:r>
          </w:p>
        </w:tc>
      </w:tr>
      <w:tr>
        <w:trPr>
          <w:cantSplit/>
        </w:trPr>
        <w:tc>
          <w:tcPr>
            <w:tcW w:type="dxa" w:w="2880"/>
            <w:vAlign w:val="top"/>
            <w:tcMar>
              <w:top w:w="80" w:type="dxa"/>
              <w:start w:w="120" w:type="dxa"/>
              <w:bottom w:w="80" w:type="dxa"/>
              <w:end w:w="120" w:type="dxa"/>
            </w:tcMar>
            <w:shd w:fill="F6F5F7"/>
          </w:tcPr>
          <w:p>
            <w:pPr>
              <w:spacing w:after="40"/>
              <w:jc w:val="left"/>
            </w:pPr>
            <w:r>
              <w:rPr>
                <w:sz w:val="16"/>
              </w:rPr>
              <w:t>Faster recognition of deterioration</w:t>
            </w:r>
          </w:p>
        </w:tc>
        <w:tc>
          <w:tcPr>
            <w:tcW w:type="dxa" w:w="4536"/>
            <w:vAlign w:val="top"/>
            <w:tcMar>
              <w:top w:w="80" w:type="dxa"/>
              <w:start w:w="120" w:type="dxa"/>
              <w:bottom w:w="80" w:type="dxa"/>
              <w:end w:w="120" w:type="dxa"/>
            </w:tcMar>
            <w:shd w:fill="F6F5F7"/>
          </w:tcPr>
          <w:p>
            <w:pPr>
              <w:spacing w:after="40"/>
              <w:jc w:val="left"/>
            </w:pPr>
            <w:r>
              <w:rPr>
                <w:sz w:val="16"/>
              </w:rPr>
              <w:t>Signal-to-clinician-review time and escalation completion</w:t>
            </w:r>
          </w:p>
        </w:tc>
        <w:tc>
          <w:tcPr>
            <w:tcW w:type="dxa" w:w="2232"/>
            <w:vAlign w:val="top"/>
            <w:tcMar>
              <w:top w:w="80" w:type="dxa"/>
              <w:start w:w="120" w:type="dxa"/>
              <w:bottom w:w="80" w:type="dxa"/>
              <w:end w:w="120" w:type="dxa"/>
            </w:tcMar>
            <w:shd w:fill="F6F5F7"/>
          </w:tcPr>
          <w:p>
            <w:pPr>
              <w:spacing w:after="40"/>
              <w:jc w:val="left"/>
            </w:pPr>
            <w:r>
              <w:rPr>
                <w:sz w:val="16"/>
              </w:rPr>
              <w:t>Triage and charge nurses</w:t>
            </w:r>
          </w:p>
        </w:tc>
      </w:tr>
      <w:tr>
        <w:trPr>
          <w:cantSplit/>
        </w:trPr>
        <w:tc>
          <w:tcPr>
            <w:tcW w:type="dxa" w:w="2880"/>
            <w:vAlign w:val="top"/>
            <w:tcMar>
              <w:top w:w="80" w:type="dxa"/>
              <w:start w:w="120" w:type="dxa"/>
              <w:bottom w:w="80" w:type="dxa"/>
              <w:end w:w="120" w:type="dxa"/>
            </w:tcMar>
          </w:tcPr>
          <w:p>
            <w:pPr>
              <w:spacing w:after="40"/>
              <w:jc w:val="left"/>
            </w:pPr>
            <w:r>
              <w:rPr>
                <w:sz w:val="16"/>
              </w:rPr>
              <w:t>Lower manual queue-scanning burden</w:t>
            </w:r>
          </w:p>
        </w:tc>
        <w:tc>
          <w:tcPr>
            <w:tcW w:type="dxa" w:w="4536"/>
            <w:vAlign w:val="top"/>
            <w:tcMar>
              <w:top w:w="80" w:type="dxa"/>
              <w:start w:w="120" w:type="dxa"/>
              <w:bottom w:w="80" w:type="dxa"/>
              <w:end w:w="120" w:type="dxa"/>
            </w:tcMar>
          </w:tcPr>
          <w:p>
            <w:pPr>
              <w:spacing w:after="40"/>
              <w:jc w:val="left"/>
            </w:pPr>
            <w:r>
              <w:rPr>
                <w:sz w:val="16"/>
              </w:rPr>
              <w:t>Time-on-task, duplicate checks and unchanged-alert rate</w:t>
            </w:r>
          </w:p>
        </w:tc>
        <w:tc>
          <w:tcPr>
            <w:tcW w:type="dxa" w:w="2232"/>
            <w:vAlign w:val="top"/>
            <w:tcMar>
              <w:top w:w="80" w:type="dxa"/>
              <w:start w:w="120" w:type="dxa"/>
              <w:bottom w:w="80" w:type="dxa"/>
              <w:end w:w="120" w:type="dxa"/>
            </w:tcMar>
          </w:tcPr>
          <w:p>
            <w:pPr>
              <w:spacing w:after="40"/>
              <w:jc w:val="left"/>
            </w:pPr>
            <w:r>
              <w:rPr>
                <w:sz w:val="16"/>
              </w:rPr>
              <w:t>Nursing workforce</w:t>
            </w:r>
          </w:p>
        </w:tc>
      </w:tr>
      <w:tr>
        <w:trPr>
          <w:cantSplit/>
        </w:trPr>
        <w:tc>
          <w:tcPr>
            <w:tcW w:type="dxa" w:w="2880"/>
            <w:vAlign w:val="top"/>
            <w:tcMar>
              <w:top w:w="80" w:type="dxa"/>
              <w:start w:w="120" w:type="dxa"/>
              <w:bottom w:w="80" w:type="dxa"/>
              <w:end w:w="120" w:type="dxa"/>
            </w:tcMar>
            <w:shd w:fill="F6F5F7"/>
          </w:tcPr>
          <w:p>
            <w:pPr>
              <w:spacing w:after="40"/>
              <w:jc w:val="left"/>
            </w:pPr>
            <w:r>
              <w:rPr>
                <w:sz w:val="16"/>
              </w:rPr>
              <w:t>Earlier capacity visibility</w:t>
            </w:r>
          </w:p>
        </w:tc>
        <w:tc>
          <w:tcPr>
            <w:tcW w:type="dxa" w:w="4536"/>
            <w:vAlign w:val="top"/>
            <w:tcMar>
              <w:top w:w="80" w:type="dxa"/>
              <w:start w:w="120" w:type="dxa"/>
              <w:bottom w:w="80" w:type="dxa"/>
              <w:end w:w="120" w:type="dxa"/>
            </w:tcMar>
            <w:shd w:fill="F6F5F7"/>
          </w:tcPr>
          <w:p>
            <w:pPr>
              <w:spacing w:after="40"/>
              <w:jc w:val="left"/>
            </w:pPr>
            <w:r>
              <w:rPr>
                <w:sz w:val="16"/>
              </w:rPr>
              <w:t>Negative-Slack minutes, unresolved capacity conflicts and response actions</w:t>
            </w:r>
          </w:p>
        </w:tc>
        <w:tc>
          <w:tcPr>
            <w:tcW w:type="dxa" w:w="2232"/>
            <w:vAlign w:val="top"/>
            <w:tcMar>
              <w:top w:w="80" w:type="dxa"/>
              <w:start w:w="120" w:type="dxa"/>
              <w:bottom w:w="80" w:type="dxa"/>
              <w:end w:w="120" w:type="dxa"/>
            </w:tcMar>
            <w:shd w:fill="F6F5F7"/>
          </w:tcPr>
          <w:p>
            <w:pPr>
              <w:spacing w:after="40"/>
              <w:jc w:val="left"/>
            </w:pPr>
            <w:r>
              <w:rPr>
                <w:sz w:val="16"/>
              </w:rPr>
              <w:t>Charge nurse and operations</w:t>
            </w:r>
          </w:p>
        </w:tc>
      </w:tr>
      <w:tr>
        <w:trPr>
          <w:cantSplit/>
        </w:trPr>
        <w:tc>
          <w:tcPr>
            <w:tcW w:type="dxa" w:w="2880"/>
            <w:vAlign w:val="top"/>
            <w:tcMar>
              <w:top w:w="80" w:type="dxa"/>
              <w:start w:w="120" w:type="dxa"/>
              <w:bottom w:w="80" w:type="dxa"/>
              <w:end w:w="120" w:type="dxa"/>
            </w:tcMar>
          </w:tcPr>
          <w:p>
            <w:pPr>
              <w:spacing w:after="40"/>
              <w:jc w:val="left"/>
            </w:pPr>
            <w:r>
              <w:rPr>
                <w:sz w:val="16"/>
              </w:rPr>
              <w:t>Auditable decisions</w:t>
            </w:r>
          </w:p>
        </w:tc>
        <w:tc>
          <w:tcPr>
            <w:tcW w:type="dxa" w:w="4536"/>
            <w:vAlign w:val="top"/>
            <w:tcMar>
              <w:top w:w="80" w:type="dxa"/>
              <w:start w:w="120" w:type="dxa"/>
              <w:bottom w:w="80" w:type="dxa"/>
              <w:end w:w="120" w:type="dxa"/>
            </w:tcMar>
          </w:tcPr>
          <w:p>
            <w:pPr>
              <w:spacing w:after="40"/>
              <w:jc w:val="left"/>
            </w:pPr>
            <w:r>
              <w:rPr>
                <w:sz w:val="16"/>
              </w:rPr>
              <w:t>Decision-receipt completion, override reasons and integrity checks</w:t>
            </w:r>
          </w:p>
        </w:tc>
        <w:tc>
          <w:tcPr>
            <w:tcW w:type="dxa" w:w="2232"/>
            <w:vAlign w:val="top"/>
            <w:tcMar>
              <w:top w:w="80" w:type="dxa"/>
              <w:start w:w="120" w:type="dxa"/>
              <w:bottom w:w="80" w:type="dxa"/>
              <w:end w:w="120" w:type="dxa"/>
            </w:tcMar>
          </w:tcPr>
          <w:p>
            <w:pPr>
              <w:spacing w:after="40"/>
              <w:jc w:val="left"/>
            </w:pPr>
            <w:r>
              <w:rPr>
                <w:sz w:val="16"/>
              </w:rPr>
              <w:t>Quality, compliance and clinical governance</w:t>
            </w:r>
          </w:p>
        </w:tc>
      </w:tr>
    </w:tbl>
    <w:p>
      <w:pPr>
        <w:spacing w:after="20"/>
      </w:pPr>
    </w:p>
    <w:p>
      <w:pPr>
        <w:pStyle w:val="Heading2"/>
        <w:keepNext/>
      </w:pPr>
      <w:r>
        <w:t>Economic model</w:t>
      </w:r>
    </w:p>
    <w:p>
      <w:pPr>
        <w:keepLines/>
      </w:pPr>
      <w:r>
        <w:t>No rupee-saving claim is made at prototype stage. The pilot business case should use locally observed baselines and an attributable-benefit formula:</w:t>
      </w:r>
    </w:p>
    <w:p>
      <w:pPr>
        <w:spacing w:before="100" w:after="160" w:line="269" w:lineRule="auto"/>
        <w:ind w:left="115" w:right="115"/>
        <w:shd w:fill="F7EEF4"/>
        <w:jc w:val="left"/>
        <w:keepLines/>
      </w:pPr>
      <w:r>
        <w:rPr>
          <w:b/>
          <w:color w:val="7A1F5C"/>
        </w:rPr>
        <w:t xml:space="preserve">Annual attributable value  </w:t>
      </w:r>
      <w:r>
        <w:t>(avoidable process time × loaded staff cost) + value of prevented operational exceptions + documentation/audit efficiency − integration, validation, change and operating cost.</w:t>
      </w:r>
    </w:p>
    <w:p>
      <w:pPr>
        <w:keepLines/>
      </w:pPr>
      <w:r>
        <w:t>Patient harm avoided must not be monetized from synthetic results. It can enter the investment case only after an independently governed clinical evaluation supports the causal link.</w:t>
      </w:r>
    </w:p>
    <w:p>
      <w:pPr>
        <w:pStyle w:val="Heading2"/>
        <w:keepNext/>
      </w:pPr>
      <w:r>
        <w:t>Commercial shape</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944"/>
            <w:shd w:fill="52163E"/>
            <w:vAlign w:val="center"/>
            <w:tcMar>
              <w:top w:w="80" w:type="dxa"/>
              <w:start w:w="120" w:type="dxa"/>
              <w:bottom w:w="80" w:type="dxa"/>
              <w:end w:w="120" w:type="dxa"/>
            </w:tcMar>
          </w:tcPr>
          <w:p>
            <w:pPr>
              <w:jc w:val="left"/>
            </w:pPr>
            <w:r>
              <w:rPr>
                <w:b/>
                <w:color w:val="FFFFFF"/>
                <w:sz w:val="17"/>
              </w:rPr>
              <w:t>Stage</w:t>
            </w:r>
          </w:p>
        </w:tc>
        <w:tc>
          <w:tcPr>
            <w:tcW w:type="dxa" w:w="3960"/>
            <w:shd w:fill="52163E"/>
            <w:vAlign w:val="center"/>
            <w:tcMar>
              <w:top w:w="80" w:type="dxa"/>
              <w:start w:w="120" w:type="dxa"/>
              <w:bottom w:w="80" w:type="dxa"/>
              <w:end w:w="120" w:type="dxa"/>
            </w:tcMar>
          </w:tcPr>
          <w:p>
            <w:pPr>
              <w:jc w:val="left"/>
            </w:pPr>
            <w:r>
              <w:rPr>
                <w:b/>
                <w:color w:val="FFFFFF"/>
                <w:sz w:val="17"/>
              </w:rPr>
              <w:t>Commercial posture</w:t>
            </w:r>
          </w:p>
        </w:tc>
        <w:tc>
          <w:tcPr>
            <w:tcW w:type="dxa" w:w="3744"/>
            <w:shd w:fill="52163E"/>
            <w:vAlign w:val="center"/>
            <w:tcMar>
              <w:top w:w="80" w:type="dxa"/>
              <w:start w:w="120" w:type="dxa"/>
              <w:bottom w:w="80" w:type="dxa"/>
              <w:end w:w="120" w:type="dxa"/>
            </w:tcMar>
          </w:tcPr>
          <w:p>
            <w:pPr>
              <w:jc w:val="left"/>
            </w:pPr>
            <w:r>
              <w:rPr>
                <w:b/>
                <w:color w:val="FFFFFF"/>
                <w:sz w:val="17"/>
              </w:rPr>
              <w:t>Customer commitment</w:t>
            </w:r>
          </w:p>
        </w:tc>
      </w:tr>
      <w:tr>
        <w:trPr>
          <w:cantSplit/>
        </w:trPr>
        <w:tc>
          <w:tcPr>
            <w:tcW w:type="dxa" w:w="1944"/>
            <w:vAlign w:val="top"/>
            <w:tcMar>
              <w:top w:w="80" w:type="dxa"/>
              <w:start w:w="120" w:type="dxa"/>
              <w:bottom w:w="80" w:type="dxa"/>
              <w:end w:w="120" w:type="dxa"/>
            </w:tcMar>
          </w:tcPr>
          <w:p>
            <w:pPr>
              <w:spacing w:after="40"/>
              <w:jc w:val="left"/>
            </w:pPr>
            <w:r>
              <w:rPr>
                <w:sz w:val="16"/>
              </w:rPr>
              <w:t>Discovery / retrospective</w:t>
            </w:r>
          </w:p>
        </w:tc>
        <w:tc>
          <w:tcPr>
            <w:tcW w:type="dxa" w:w="3960"/>
            <w:vAlign w:val="top"/>
            <w:tcMar>
              <w:top w:w="80" w:type="dxa"/>
              <w:start w:w="120" w:type="dxa"/>
              <w:bottom w:w="80" w:type="dxa"/>
              <w:end w:w="120" w:type="dxa"/>
            </w:tcMar>
          </w:tcPr>
          <w:p>
            <w:pPr>
              <w:spacing w:after="40"/>
              <w:jc w:val="left"/>
            </w:pPr>
            <w:r>
              <w:rPr>
                <w:sz w:val="16"/>
              </w:rPr>
              <w:t>Fixed-scope validation and workflow mapping</w:t>
            </w:r>
          </w:p>
        </w:tc>
        <w:tc>
          <w:tcPr>
            <w:tcW w:type="dxa" w:w="3744"/>
            <w:vAlign w:val="top"/>
            <w:tcMar>
              <w:top w:w="80" w:type="dxa"/>
              <w:start w:w="120" w:type="dxa"/>
              <w:bottom w:w="80" w:type="dxa"/>
              <w:end w:w="120" w:type="dxa"/>
            </w:tcMar>
          </w:tcPr>
          <w:p>
            <w:pPr>
              <w:spacing w:after="40"/>
              <w:jc w:val="left"/>
            </w:pPr>
            <w:r>
              <w:rPr>
                <w:sz w:val="16"/>
              </w:rPr>
              <w:t>De-identified approved extract, clinical owner, data/IT owner.</w:t>
            </w:r>
          </w:p>
        </w:tc>
      </w:tr>
      <w:tr>
        <w:trPr>
          <w:cantSplit/>
        </w:trPr>
        <w:tc>
          <w:tcPr>
            <w:tcW w:type="dxa" w:w="1944"/>
            <w:vAlign w:val="top"/>
            <w:tcMar>
              <w:top w:w="80" w:type="dxa"/>
              <w:start w:w="120" w:type="dxa"/>
              <w:bottom w:w="80" w:type="dxa"/>
              <w:end w:w="120" w:type="dxa"/>
            </w:tcMar>
            <w:shd w:fill="F6F5F7"/>
          </w:tcPr>
          <w:p>
            <w:pPr>
              <w:spacing w:after="40"/>
              <w:jc w:val="left"/>
            </w:pPr>
            <w:r>
              <w:rPr>
                <w:sz w:val="16"/>
              </w:rPr>
              <w:t>Shadow pilot</w:t>
            </w:r>
          </w:p>
        </w:tc>
        <w:tc>
          <w:tcPr>
            <w:tcW w:type="dxa" w:w="3960"/>
            <w:vAlign w:val="top"/>
            <w:tcMar>
              <w:top w:w="80" w:type="dxa"/>
              <w:start w:w="120" w:type="dxa"/>
              <w:bottom w:w="80" w:type="dxa"/>
              <w:end w:w="120" w:type="dxa"/>
            </w:tcMar>
            <w:shd w:fill="F6F5F7"/>
          </w:tcPr>
          <w:p>
            <w:pPr>
              <w:spacing w:after="40"/>
              <w:jc w:val="left"/>
            </w:pPr>
            <w:r>
              <w:rPr>
                <w:sz w:val="16"/>
              </w:rPr>
              <w:t>Site-based pilot fee covering configuration, monitoring and evaluation</w:t>
            </w:r>
          </w:p>
        </w:tc>
        <w:tc>
          <w:tcPr>
            <w:tcW w:type="dxa" w:w="3744"/>
            <w:vAlign w:val="top"/>
            <w:tcMar>
              <w:top w:w="80" w:type="dxa"/>
              <w:start w:w="120" w:type="dxa"/>
              <w:bottom w:w="80" w:type="dxa"/>
              <w:end w:w="120" w:type="dxa"/>
            </w:tcMar>
            <w:shd w:fill="F6F5F7"/>
          </w:tcPr>
          <w:p>
            <w:pPr>
              <w:spacing w:after="40"/>
              <w:jc w:val="left"/>
            </w:pPr>
            <w:r>
              <w:rPr>
                <w:sz w:val="16"/>
              </w:rPr>
              <w:t>No patient-facing autonomy; weekly safety/adoption review.</w:t>
            </w:r>
          </w:p>
        </w:tc>
      </w:tr>
      <w:tr>
        <w:trPr>
          <w:cantSplit/>
        </w:trPr>
        <w:tc>
          <w:tcPr>
            <w:tcW w:type="dxa" w:w="1944"/>
            <w:vAlign w:val="top"/>
            <w:tcMar>
              <w:top w:w="80" w:type="dxa"/>
              <w:start w:w="120" w:type="dxa"/>
              <w:bottom w:w="80" w:type="dxa"/>
              <w:end w:w="120" w:type="dxa"/>
            </w:tcMar>
          </w:tcPr>
          <w:p>
            <w:pPr>
              <w:spacing w:after="40"/>
              <w:jc w:val="left"/>
            </w:pPr>
            <w:r>
              <w:rPr>
                <w:sz w:val="16"/>
              </w:rPr>
              <w:t>Controlled production</w:t>
            </w:r>
          </w:p>
        </w:tc>
        <w:tc>
          <w:tcPr>
            <w:tcW w:type="dxa" w:w="3960"/>
            <w:vAlign w:val="top"/>
            <w:tcMar>
              <w:top w:w="80" w:type="dxa"/>
              <w:start w:w="120" w:type="dxa"/>
              <w:bottom w:w="80" w:type="dxa"/>
              <w:end w:w="120" w:type="dxa"/>
            </w:tcMar>
          </w:tcPr>
          <w:p>
            <w:pPr>
              <w:spacing w:after="40"/>
              <w:jc w:val="left"/>
            </w:pPr>
            <w:r>
              <w:rPr>
                <w:sz w:val="16"/>
              </w:rPr>
              <w:t>Annual platform + site/configuration support</w:t>
            </w:r>
          </w:p>
        </w:tc>
        <w:tc>
          <w:tcPr>
            <w:tcW w:type="dxa" w:w="3744"/>
            <w:vAlign w:val="top"/>
            <w:tcMar>
              <w:top w:w="80" w:type="dxa"/>
              <w:start w:w="120" w:type="dxa"/>
              <w:bottom w:w="80" w:type="dxa"/>
              <w:end w:w="120" w:type="dxa"/>
            </w:tcMar>
          </w:tcPr>
          <w:p>
            <w:pPr>
              <w:spacing w:after="40"/>
              <w:jc w:val="left"/>
            </w:pPr>
            <w:r>
              <w:rPr>
                <w:sz w:val="16"/>
              </w:rPr>
              <w:t>Governance approval, integration, operating model and agreed service levels.</w:t>
            </w:r>
          </w:p>
        </w:tc>
      </w:tr>
      <w:tr>
        <w:trPr>
          <w:cantSplit/>
        </w:trPr>
        <w:tc>
          <w:tcPr>
            <w:tcW w:type="dxa" w:w="1944"/>
            <w:vAlign w:val="top"/>
            <w:tcMar>
              <w:top w:w="80" w:type="dxa"/>
              <w:start w:w="120" w:type="dxa"/>
              <w:bottom w:w="80" w:type="dxa"/>
              <w:end w:w="120" w:type="dxa"/>
            </w:tcMar>
            <w:shd w:fill="F6F5F7"/>
          </w:tcPr>
          <w:p>
            <w:pPr>
              <w:spacing w:after="40"/>
              <w:jc w:val="left"/>
            </w:pPr>
            <w:r>
              <w:rPr>
                <w:sz w:val="16"/>
              </w:rPr>
              <w:t>Network scale</w:t>
            </w:r>
          </w:p>
        </w:tc>
        <w:tc>
          <w:tcPr>
            <w:tcW w:type="dxa" w:w="3960"/>
            <w:vAlign w:val="top"/>
            <w:tcMar>
              <w:top w:w="80" w:type="dxa"/>
              <w:start w:w="120" w:type="dxa"/>
              <w:bottom w:w="80" w:type="dxa"/>
              <w:end w:w="120" w:type="dxa"/>
            </w:tcMar>
            <w:shd w:fill="F6F5F7"/>
          </w:tcPr>
          <w:p>
            <w:pPr>
              <w:spacing w:after="40"/>
              <w:jc w:val="left"/>
            </w:pPr>
            <w:r>
              <w:rPr>
                <w:sz w:val="16"/>
              </w:rPr>
              <w:t>Multi-site license with shared governance and site-specific calibration</w:t>
            </w:r>
          </w:p>
        </w:tc>
        <w:tc>
          <w:tcPr>
            <w:tcW w:type="dxa" w:w="3744"/>
            <w:vAlign w:val="top"/>
            <w:tcMar>
              <w:top w:w="80" w:type="dxa"/>
              <w:start w:w="120" w:type="dxa"/>
              <w:bottom w:w="80" w:type="dxa"/>
              <w:end w:w="120" w:type="dxa"/>
            </w:tcMar>
            <w:shd w:fill="F6F5F7"/>
          </w:tcPr>
          <w:p>
            <w:pPr>
              <w:spacing w:after="40"/>
              <w:jc w:val="left"/>
            </w:pPr>
            <w:r>
              <w:rPr>
                <w:sz w:val="16"/>
              </w:rPr>
              <w:t>Central model governance plus local clinical ownership.</w:t>
            </w:r>
          </w:p>
        </w:tc>
      </w:tr>
    </w:tbl>
    <w:p>
      <w:pPr>
        <w:spacing w:after="20"/>
      </w:pPr>
    </w:p>
    <w:p>
      <w:r>
        <w:br w:type="page"/>
      </w:r>
    </w:p>
    <w:p>
      <w:pPr>
        <w:pStyle w:val="Heading1"/>
        <w:keepNext/>
      </w:pPr>
      <w:r>
        <w:t>10. Adoption and integration</w:t>
      </w:r>
    </w:p>
    <w:p>
      <w:pPr>
        <w:pStyle w:val="Subtitle"/>
        <w:spacing w:after="200"/>
      </w:pPr>
      <w:r>
        <w:t>Fit the clinical workflow; do not ask the workflow to fit the model</w:t>
      </w:r>
    </w:p>
    <w:p>
      <w:pPr>
        <w:pStyle w:val="Heading2"/>
        <w:keepNext/>
      </w:pPr>
      <w:r>
        <w:t>Integration levels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656"/>
            <w:shd w:fill="52163E"/>
            <w:vAlign w:val="center"/>
            <w:tcMar>
              <w:top w:w="80" w:type="dxa"/>
              <w:start w:w="120" w:type="dxa"/>
              <w:bottom w:w="80" w:type="dxa"/>
              <w:end w:w="120" w:type="dxa"/>
            </w:tcMar>
          </w:tcPr>
          <w:p>
            <w:pPr>
              <w:jc w:val="left"/>
            </w:pPr>
            <w:r>
              <w:rPr>
                <w:b/>
                <w:color w:val="FFFFFF"/>
                <w:sz w:val="17"/>
              </w:rPr>
              <w:t>Maturity</w:t>
            </w:r>
          </w:p>
        </w:tc>
        <w:tc>
          <w:tcPr>
            <w:tcW w:type="dxa" w:w="3960"/>
            <w:shd w:fill="52163E"/>
            <w:vAlign w:val="center"/>
            <w:tcMar>
              <w:top w:w="80" w:type="dxa"/>
              <w:start w:w="120" w:type="dxa"/>
              <w:bottom w:w="80" w:type="dxa"/>
              <w:end w:w="120" w:type="dxa"/>
            </w:tcMar>
          </w:tcPr>
          <w:p>
            <w:pPr>
              <w:jc w:val="left"/>
            </w:pPr>
            <w:r>
              <w:rPr>
                <w:b/>
                <w:color w:val="FFFFFF"/>
                <w:sz w:val="17"/>
              </w:rPr>
              <w:t>Input path</w:t>
            </w:r>
          </w:p>
        </w:tc>
        <w:tc>
          <w:tcPr>
            <w:tcW w:type="dxa" w:w="4032"/>
            <w:shd w:fill="52163E"/>
            <w:vAlign w:val="center"/>
            <w:tcMar>
              <w:top w:w="80" w:type="dxa"/>
              <w:start w:w="120" w:type="dxa"/>
              <w:bottom w:w="80" w:type="dxa"/>
              <w:end w:w="120" w:type="dxa"/>
            </w:tcMar>
          </w:tcPr>
          <w:p>
            <w:pPr>
              <w:jc w:val="left"/>
            </w:pPr>
            <w:r>
              <w:rPr>
                <w:b/>
                <w:color w:val="FFFFFF"/>
                <w:sz w:val="17"/>
              </w:rPr>
              <w:t>TriageLoop behavior</w:t>
            </w:r>
          </w:p>
        </w:tc>
      </w:tr>
      <w:tr>
        <w:trPr>
          <w:cantSplit/>
        </w:trPr>
        <w:tc>
          <w:tcPr>
            <w:tcW w:type="dxa" w:w="1656"/>
            <w:vAlign w:val="top"/>
            <w:tcMar>
              <w:top w:w="80" w:type="dxa"/>
              <w:start w:w="120" w:type="dxa"/>
              <w:bottom w:w="80" w:type="dxa"/>
              <w:end w:w="120" w:type="dxa"/>
            </w:tcMar>
          </w:tcPr>
          <w:p>
            <w:pPr>
              <w:spacing w:after="40"/>
              <w:jc w:val="left"/>
            </w:pPr>
            <w:r>
              <w:rPr>
                <w:sz w:val="16"/>
              </w:rPr>
              <w:t>Low</w:t>
            </w:r>
          </w:p>
        </w:tc>
        <w:tc>
          <w:tcPr>
            <w:tcW w:type="dxa" w:w="3960"/>
            <w:vAlign w:val="top"/>
            <w:tcMar>
              <w:top w:w="80" w:type="dxa"/>
              <w:start w:w="120" w:type="dxa"/>
              <w:bottom w:w="80" w:type="dxa"/>
              <w:end w:w="120" w:type="dxa"/>
            </w:tcMar>
          </w:tcPr>
          <w:p>
            <w:pPr>
              <w:spacing w:after="40"/>
              <w:jc w:val="left"/>
            </w:pPr>
            <w:r>
              <w:rPr>
                <w:sz w:val="16"/>
              </w:rPr>
              <w:t>Validated manual or batch CSV input</w:t>
            </w:r>
          </w:p>
        </w:tc>
        <w:tc>
          <w:tcPr>
            <w:tcW w:type="dxa" w:w="4032"/>
            <w:vAlign w:val="top"/>
            <w:tcMar>
              <w:top w:w="80" w:type="dxa"/>
              <w:start w:w="120" w:type="dxa"/>
              <w:bottom w:w="80" w:type="dxa"/>
              <w:end w:w="120" w:type="dxa"/>
            </w:tcMar>
          </w:tcPr>
          <w:p>
            <w:pPr>
              <w:spacing w:after="40"/>
              <w:jc w:val="left"/>
            </w:pPr>
            <w:r>
              <w:rPr>
                <w:sz w:val="16"/>
              </w:rPr>
              <w:t>Limited shadow-mode observation with explicit provenance and staleness.</w:t>
            </w:r>
          </w:p>
        </w:tc>
      </w:tr>
      <w:tr>
        <w:trPr>
          <w:cantSplit/>
        </w:trPr>
        <w:tc>
          <w:tcPr>
            <w:tcW w:type="dxa" w:w="1656"/>
            <w:vAlign w:val="top"/>
            <w:tcMar>
              <w:top w:w="80" w:type="dxa"/>
              <w:start w:w="120" w:type="dxa"/>
              <w:bottom w:w="80" w:type="dxa"/>
              <w:end w:w="120" w:type="dxa"/>
            </w:tcMar>
            <w:shd w:fill="F6F5F7"/>
          </w:tcPr>
          <w:p>
            <w:pPr>
              <w:spacing w:after="40"/>
              <w:jc w:val="left"/>
            </w:pPr>
            <w:r>
              <w:rPr>
                <w:sz w:val="16"/>
              </w:rPr>
              <w:t>Medium</w:t>
            </w:r>
          </w:p>
        </w:tc>
        <w:tc>
          <w:tcPr>
            <w:tcW w:type="dxa" w:w="3960"/>
            <w:vAlign w:val="top"/>
            <w:tcMar>
              <w:top w:w="80" w:type="dxa"/>
              <w:start w:w="120" w:type="dxa"/>
              <w:bottom w:w="80" w:type="dxa"/>
              <w:end w:w="120" w:type="dxa"/>
            </w:tcMar>
            <w:shd w:fill="F6F5F7"/>
          </w:tcPr>
          <w:p>
            <w:pPr>
              <w:spacing w:after="40"/>
              <w:jc w:val="left"/>
            </w:pPr>
            <w:r>
              <w:rPr>
                <w:sz w:val="16"/>
              </w:rPr>
              <w:t>Hospital adapter maps approved messages to the versioned contract</w:t>
            </w:r>
          </w:p>
        </w:tc>
        <w:tc>
          <w:tcPr>
            <w:tcW w:type="dxa" w:w="4032"/>
            <w:vAlign w:val="top"/>
            <w:tcMar>
              <w:top w:w="80" w:type="dxa"/>
              <w:start w:w="120" w:type="dxa"/>
              <w:bottom w:w="80" w:type="dxa"/>
              <w:end w:w="120" w:type="dxa"/>
            </w:tcMar>
            <w:shd w:fill="F6F5F7"/>
          </w:tcPr>
          <w:p>
            <w:pPr>
              <w:spacing w:after="40"/>
              <w:jc w:val="left"/>
            </w:pPr>
            <w:r>
              <w:rPr>
                <w:sz w:val="16"/>
              </w:rPr>
              <w:t>Near-real-time board with reconciliation and downtime procedure.</w:t>
            </w:r>
          </w:p>
        </w:tc>
      </w:tr>
      <w:tr>
        <w:trPr>
          <w:cantSplit/>
        </w:trPr>
        <w:tc>
          <w:tcPr>
            <w:tcW w:type="dxa" w:w="1656"/>
            <w:vAlign w:val="top"/>
            <w:tcMar>
              <w:top w:w="80" w:type="dxa"/>
              <w:start w:w="120" w:type="dxa"/>
              <w:bottom w:w="80" w:type="dxa"/>
              <w:end w:w="120" w:type="dxa"/>
            </w:tcMar>
          </w:tcPr>
          <w:p>
            <w:pPr>
              <w:spacing w:after="40"/>
              <w:jc w:val="left"/>
            </w:pPr>
            <w:r>
              <w:rPr>
                <w:sz w:val="16"/>
              </w:rPr>
              <w:t>High</w:t>
            </w:r>
          </w:p>
        </w:tc>
        <w:tc>
          <w:tcPr>
            <w:tcW w:type="dxa" w:w="3960"/>
            <w:vAlign w:val="top"/>
            <w:tcMar>
              <w:top w:w="80" w:type="dxa"/>
              <w:start w:w="120" w:type="dxa"/>
              <w:bottom w:w="80" w:type="dxa"/>
              <w:end w:w="120" w:type="dxa"/>
            </w:tcMar>
          </w:tcPr>
          <w:p>
            <w:pPr>
              <w:spacing w:after="40"/>
              <w:jc w:val="left"/>
            </w:pPr>
            <w:r>
              <w:rPr>
                <w:sz w:val="16"/>
              </w:rPr>
              <w:t>Standards-aligned event/API integration and hospital identity</w:t>
            </w:r>
          </w:p>
        </w:tc>
        <w:tc>
          <w:tcPr>
            <w:tcW w:type="dxa" w:w="4032"/>
            <w:vAlign w:val="top"/>
            <w:tcMar>
              <w:top w:w="80" w:type="dxa"/>
              <w:start w:w="120" w:type="dxa"/>
              <w:bottom w:w="80" w:type="dxa"/>
              <w:end w:w="120" w:type="dxa"/>
            </w:tcMar>
          </w:tcPr>
          <w:p>
            <w:pPr>
              <w:spacing w:after="40"/>
              <w:jc w:val="left"/>
            </w:pPr>
            <w:r>
              <w:rPr>
                <w:sz w:val="16"/>
              </w:rPr>
              <w:t>Role-aware, monitored workflow with feedback and governed audit export.</w:t>
            </w:r>
          </w:p>
        </w:tc>
      </w:tr>
    </w:tbl>
    <w:p>
      <w:pPr>
        <w:spacing w:after="20"/>
      </w:pPr>
    </w:p>
    <w:p>
      <w:pPr>
        <w:pStyle w:val="Heading2"/>
        <w:keepNext/>
      </w:pPr>
      <w:r>
        <w:t>Change-management design</w:t>
      </w:r>
    </w:p>
    <w:p>
      <w:pPr>
        <w:pStyle w:val="ListBullet"/>
        <w:spacing w:after="60"/>
        <w:ind w:left="490" w:hanging="230"/>
        <w:keepLines/>
      </w:pPr>
      <w:r>
        <w:t>Start in shadow mode: nurses see no autonomous action and can compare recommendations to standard practice.</w:t>
      </w:r>
    </w:p>
    <w:p>
      <w:pPr>
        <w:pStyle w:val="ListBullet"/>
        <w:spacing w:after="60"/>
        <w:ind w:left="490" w:hanging="230"/>
        <w:keepLines/>
      </w:pPr>
      <w:r>
        <w:t>Co-design thresholds, reason language and escalation routes with triage nurses and clinical safety leadership.</w:t>
      </w:r>
    </w:p>
    <w:p>
      <w:pPr>
        <w:pStyle w:val="ListBullet"/>
        <w:spacing w:after="60"/>
        <w:ind w:left="490" w:hanging="230"/>
        <w:keepLines/>
      </w:pPr>
      <w:r>
        <w:t>Measure alert burden using both waiting-patient-hour and reassessment-nurse-hour denominators, and suppress unchanged signals.</w:t>
      </w:r>
    </w:p>
    <w:p>
      <w:pPr>
        <w:pStyle w:val="ListBullet"/>
        <w:spacing w:after="60"/>
        <w:ind w:left="490" w:hanging="230"/>
        <w:keepLines/>
      </w:pPr>
      <w:r>
        <w:t>Review overrides as learning signals, never as staff-performance scores without separate governance.</w:t>
      </w:r>
    </w:p>
    <w:p>
      <w:pPr>
        <w:pStyle w:val="ListBullet"/>
        <w:spacing w:after="60"/>
        <w:ind w:left="490" w:hanging="230"/>
        <w:keepLines/>
      </w:pPr>
      <w:r>
        <w:t>Publish a model/system card, change log, known limitations and rollback path for every release.</w:t>
      </w:r>
    </w:p>
    <w:p>
      <w:pPr>
        <w:pStyle w:val="Heading2"/>
        <w:keepNext/>
      </w:pPr>
      <w:r>
        <w:t>Accessibility</w:t>
      </w:r>
    </w:p>
    <w:p>
      <w:pPr>
        <w:keepLines/>
      </w:pPr>
      <w:r>
        <w:t>The prototype targets WCAG 2.2 AA. Urgency is never encoded by color alone; labels, ordering and text equivalents accompany visual states. The principal workflows support keyboard use, visible focus, zoom/reflow and reduced motion. The zero-finding automated accessibility result applies to this proposal document only; formal nurse usability and assistive-technology testing of the live product remain external validation work.</w:t>
      </w:r>
    </w:p>
    <w:p>
      <w:r>
        <w:br w:type="page"/>
      </w:r>
    </w:p>
    <w:p>
      <w:pPr>
        <w:pStyle w:val="Heading1"/>
        <w:keepNext/>
      </w:pPr>
      <w:r>
        <w:t>11. Phased roadmap</w:t>
      </w:r>
    </w:p>
    <w:p>
      <w:pPr>
        <w:pStyle w:val="Subtitle"/>
        <w:spacing w:after="200"/>
      </w:pPr>
      <w:r>
        <w:t>A 16-week path to a defensible shadow pilot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1800"/>
            <w:shd w:fill="52163E"/>
            <w:vAlign w:val="center"/>
            <w:tcMar>
              <w:top w:w="80" w:type="dxa"/>
              <w:start w:w="120" w:type="dxa"/>
              <w:bottom w:w="80" w:type="dxa"/>
              <w:end w:w="120" w:type="dxa"/>
            </w:tcMar>
          </w:tcPr>
          <w:p>
            <w:pPr>
              <w:jc w:val="left"/>
            </w:pPr>
            <w:r>
              <w:rPr>
                <w:b/>
                <w:color w:val="FFFFFF"/>
                <w:sz w:val="17"/>
              </w:rPr>
              <w:t>Phase</w:t>
            </w:r>
          </w:p>
        </w:tc>
        <w:tc>
          <w:tcPr>
            <w:tcW w:type="dxa" w:w="936"/>
            <w:shd w:fill="52163E"/>
            <w:vAlign w:val="center"/>
            <w:tcMar>
              <w:top w:w="80" w:type="dxa"/>
              <w:start w:w="120" w:type="dxa"/>
              <w:bottom w:w="80" w:type="dxa"/>
              <w:end w:w="120" w:type="dxa"/>
            </w:tcMar>
          </w:tcPr>
          <w:p>
            <w:pPr>
              <w:jc w:val="left"/>
            </w:pPr>
            <w:r>
              <w:rPr>
                <w:b/>
                <w:color w:val="FFFFFF"/>
                <w:sz w:val="17"/>
              </w:rPr>
              <w:t>Weeks</w:t>
            </w:r>
          </w:p>
        </w:tc>
        <w:tc>
          <w:tcPr>
            <w:tcW w:type="dxa" w:w="4824"/>
            <w:shd w:fill="52163E"/>
            <w:vAlign w:val="center"/>
            <w:tcMar>
              <w:top w:w="80" w:type="dxa"/>
              <w:start w:w="120" w:type="dxa"/>
              <w:bottom w:w="80" w:type="dxa"/>
              <w:end w:w="120" w:type="dxa"/>
            </w:tcMar>
          </w:tcPr>
          <w:p>
            <w:pPr>
              <w:jc w:val="left"/>
            </w:pPr>
            <w:r>
              <w:rPr>
                <w:b/>
                <w:color w:val="FFFFFF"/>
                <w:sz w:val="17"/>
              </w:rPr>
              <w:t>Deliverables</w:t>
            </w:r>
          </w:p>
        </w:tc>
        <w:tc>
          <w:tcPr>
            <w:tcW w:type="dxa" w:w="2088"/>
            <w:shd w:fill="52163E"/>
            <w:vAlign w:val="center"/>
            <w:tcMar>
              <w:top w:w="80" w:type="dxa"/>
              <w:start w:w="120" w:type="dxa"/>
              <w:bottom w:w="80" w:type="dxa"/>
              <w:end w:w="120" w:type="dxa"/>
            </w:tcMar>
          </w:tcPr>
          <w:p>
            <w:pPr>
              <w:jc w:val="left"/>
            </w:pPr>
            <w:r>
              <w:rPr>
                <w:b/>
                <w:color w:val="FFFFFF"/>
                <w:sz w:val="17"/>
              </w:rPr>
              <w:t>Exit gate</w:t>
            </w:r>
          </w:p>
        </w:tc>
      </w:tr>
      <w:tr>
        <w:trPr>
          <w:cantSplit/>
        </w:trPr>
        <w:tc>
          <w:tcPr>
            <w:tcW w:type="dxa" w:w="1800"/>
            <w:vAlign w:val="top"/>
            <w:tcMar>
              <w:top w:w="80" w:type="dxa"/>
              <w:start w:w="120" w:type="dxa"/>
              <w:bottom w:w="80" w:type="dxa"/>
              <w:end w:w="120" w:type="dxa"/>
            </w:tcMar>
          </w:tcPr>
          <w:p>
            <w:pPr>
              <w:spacing w:after="40"/>
              <w:jc w:val="left"/>
            </w:pPr>
            <w:r>
              <w:rPr>
                <w:sz w:val="16"/>
              </w:rPr>
              <w:t>0. Governance and workflow</w:t>
            </w:r>
          </w:p>
        </w:tc>
        <w:tc>
          <w:tcPr>
            <w:tcW w:type="dxa" w:w="936"/>
            <w:vAlign w:val="top"/>
            <w:tcMar>
              <w:top w:w="80" w:type="dxa"/>
              <w:start w:w="120" w:type="dxa"/>
              <w:bottom w:w="80" w:type="dxa"/>
              <w:end w:w="120" w:type="dxa"/>
            </w:tcMar>
          </w:tcPr>
          <w:p>
            <w:pPr>
              <w:spacing w:after="40"/>
              <w:jc w:val="left"/>
            </w:pPr>
            <w:r>
              <w:rPr>
                <w:sz w:val="16"/>
              </w:rPr>
              <w:t>1–2</w:t>
            </w:r>
          </w:p>
        </w:tc>
        <w:tc>
          <w:tcPr>
            <w:tcW w:type="dxa" w:w="4824"/>
            <w:vAlign w:val="top"/>
            <w:tcMar>
              <w:top w:w="80" w:type="dxa"/>
              <w:start w:w="120" w:type="dxa"/>
              <w:bottom w:w="80" w:type="dxa"/>
              <w:end w:w="120" w:type="dxa"/>
            </w:tcMar>
          </w:tcPr>
          <w:p>
            <w:pPr>
              <w:spacing w:after="40"/>
              <w:jc w:val="left"/>
            </w:pPr>
            <w:r>
              <w:rPr>
                <w:sz w:val="16"/>
              </w:rPr>
              <w:t>Clinical owner, intended use, data map, SOP/downtime map, safety case skeleton</w:t>
            </w:r>
          </w:p>
        </w:tc>
        <w:tc>
          <w:tcPr>
            <w:tcW w:type="dxa" w:w="2088"/>
            <w:vAlign w:val="top"/>
            <w:tcMar>
              <w:top w:w="80" w:type="dxa"/>
              <w:start w:w="120" w:type="dxa"/>
              <w:bottom w:w="80" w:type="dxa"/>
              <w:end w:w="120" w:type="dxa"/>
            </w:tcMar>
          </w:tcPr>
          <w:p>
            <w:pPr>
              <w:spacing w:after="40"/>
              <w:jc w:val="left"/>
            </w:pPr>
            <w:r>
              <w:rPr>
                <w:sz w:val="16"/>
              </w:rPr>
              <w:t>Named accountable owners and approved non-autonomous scope</w:t>
            </w:r>
          </w:p>
        </w:tc>
      </w:tr>
      <w:tr>
        <w:trPr>
          <w:cantSplit/>
        </w:trPr>
        <w:tc>
          <w:tcPr>
            <w:tcW w:type="dxa" w:w="1800"/>
            <w:vAlign w:val="top"/>
            <w:tcMar>
              <w:top w:w="80" w:type="dxa"/>
              <w:start w:w="120" w:type="dxa"/>
              <w:bottom w:w="80" w:type="dxa"/>
              <w:end w:w="120" w:type="dxa"/>
            </w:tcMar>
            <w:shd w:fill="F6F5F7"/>
          </w:tcPr>
          <w:p>
            <w:pPr>
              <w:spacing w:after="40"/>
              <w:jc w:val="left"/>
            </w:pPr>
            <w:r>
              <w:rPr>
                <w:sz w:val="16"/>
              </w:rPr>
              <w:t>1. Local retrospective</w:t>
            </w:r>
          </w:p>
        </w:tc>
        <w:tc>
          <w:tcPr>
            <w:tcW w:type="dxa" w:w="936"/>
            <w:vAlign w:val="top"/>
            <w:tcMar>
              <w:top w:w="80" w:type="dxa"/>
              <w:start w:w="120" w:type="dxa"/>
              <w:bottom w:w="80" w:type="dxa"/>
              <w:end w:w="120" w:type="dxa"/>
            </w:tcMar>
            <w:shd w:fill="F6F5F7"/>
          </w:tcPr>
          <w:p>
            <w:pPr>
              <w:spacing w:after="40"/>
              <w:jc w:val="left"/>
            </w:pPr>
            <w:r>
              <w:rPr>
                <w:sz w:val="16"/>
              </w:rPr>
              <w:t>3–6</w:t>
            </w:r>
          </w:p>
        </w:tc>
        <w:tc>
          <w:tcPr>
            <w:tcW w:type="dxa" w:w="4824"/>
            <w:vAlign w:val="top"/>
            <w:tcMar>
              <w:top w:w="80" w:type="dxa"/>
              <w:start w:w="120" w:type="dxa"/>
              <w:bottom w:w="80" w:type="dxa"/>
              <w:end w:w="120" w:type="dxa"/>
            </w:tcMar>
            <w:shd w:fill="F6F5F7"/>
          </w:tcPr>
          <w:p>
            <w:pPr>
              <w:spacing w:after="40"/>
              <w:jc w:val="left"/>
            </w:pPr>
            <w:r>
              <w:rPr>
                <w:sz w:val="16"/>
              </w:rPr>
              <w:t>Data-quality assessment, cohort definitions, local rules review, calibration and subgroup analysis</w:t>
            </w:r>
          </w:p>
        </w:tc>
        <w:tc>
          <w:tcPr>
            <w:tcW w:type="dxa" w:w="2088"/>
            <w:vAlign w:val="top"/>
            <w:tcMar>
              <w:top w:w="80" w:type="dxa"/>
              <w:start w:w="120" w:type="dxa"/>
              <w:bottom w:w="80" w:type="dxa"/>
              <w:end w:w="120" w:type="dxa"/>
            </w:tcMar>
            <w:shd w:fill="F6F5F7"/>
          </w:tcPr>
          <w:p>
            <w:pPr>
              <w:spacing w:after="40"/>
              <w:jc w:val="left"/>
            </w:pPr>
            <w:r>
              <w:rPr>
                <w:sz w:val="16"/>
              </w:rPr>
              <w:t>Predeclared safety/performance gates met or product constrained</w:t>
            </w:r>
          </w:p>
        </w:tc>
      </w:tr>
      <w:tr>
        <w:trPr>
          <w:cantSplit/>
        </w:trPr>
        <w:tc>
          <w:tcPr>
            <w:tcW w:type="dxa" w:w="1800"/>
            <w:vAlign w:val="top"/>
            <w:tcMar>
              <w:top w:w="80" w:type="dxa"/>
              <w:start w:w="120" w:type="dxa"/>
              <w:bottom w:w="80" w:type="dxa"/>
              <w:end w:w="120" w:type="dxa"/>
            </w:tcMar>
          </w:tcPr>
          <w:p>
            <w:pPr>
              <w:spacing w:after="40"/>
              <w:jc w:val="left"/>
            </w:pPr>
            <w:r>
              <w:rPr>
                <w:sz w:val="16"/>
              </w:rPr>
              <w:t>2. Technical integration</w:t>
            </w:r>
          </w:p>
        </w:tc>
        <w:tc>
          <w:tcPr>
            <w:tcW w:type="dxa" w:w="936"/>
            <w:vAlign w:val="top"/>
            <w:tcMar>
              <w:top w:w="80" w:type="dxa"/>
              <w:start w:w="120" w:type="dxa"/>
              <w:bottom w:w="80" w:type="dxa"/>
              <w:end w:w="120" w:type="dxa"/>
            </w:tcMar>
          </w:tcPr>
          <w:p>
            <w:pPr>
              <w:spacing w:after="40"/>
              <w:jc w:val="left"/>
            </w:pPr>
            <w:r>
              <w:rPr>
                <w:sz w:val="16"/>
              </w:rPr>
              <w:t>5–8</w:t>
            </w:r>
          </w:p>
        </w:tc>
        <w:tc>
          <w:tcPr>
            <w:tcW w:type="dxa" w:w="4824"/>
            <w:vAlign w:val="top"/>
            <w:tcMar>
              <w:top w:w="80" w:type="dxa"/>
              <w:start w:w="120" w:type="dxa"/>
              <w:bottom w:w="80" w:type="dxa"/>
              <w:end w:w="120" w:type="dxa"/>
            </w:tcMar>
          </w:tcPr>
          <w:p>
            <w:pPr>
              <w:spacing w:after="40"/>
              <w:jc w:val="left"/>
            </w:pPr>
            <w:r>
              <w:rPr>
                <w:sz w:val="16"/>
              </w:rPr>
              <w:t>Adapter, identity, monitoring, audit store, security/privacy review</w:t>
            </w:r>
          </w:p>
        </w:tc>
        <w:tc>
          <w:tcPr>
            <w:tcW w:type="dxa" w:w="2088"/>
            <w:vAlign w:val="top"/>
            <w:tcMar>
              <w:top w:w="80" w:type="dxa"/>
              <w:start w:w="120" w:type="dxa"/>
              <w:bottom w:w="80" w:type="dxa"/>
              <w:end w:w="120" w:type="dxa"/>
            </w:tcMar>
          </w:tcPr>
          <w:p>
            <w:pPr>
              <w:spacing w:after="40"/>
              <w:jc w:val="left"/>
            </w:pPr>
            <w:r>
              <w:rPr>
                <w:sz w:val="16"/>
              </w:rPr>
              <w:t>Test environment replay and failure-mode acceptance</w:t>
            </w:r>
          </w:p>
        </w:tc>
      </w:tr>
      <w:tr>
        <w:trPr>
          <w:cantSplit/>
        </w:trPr>
        <w:tc>
          <w:tcPr>
            <w:tcW w:type="dxa" w:w="1800"/>
            <w:vAlign w:val="top"/>
            <w:tcMar>
              <w:top w:w="80" w:type="dxa"/>
              <w:start w:w="120" w:type="dxa"/>
              <w:bottom w:w="80" w:type="dxa"/>
              <w:end w:w="120" w:type="dxa"/>
            </w:tcMar>
            <w:shd w:fill="F6F5F7"/>
          </w:tcPr>
          <w:p>
            <w:pPr>
              <w:spacing w:after="40"/>
              <w:jc w:val="left"/>
            </w:pPr>
            <w:r>
              <w:rPr>
                <w:sz w:val="16"/>
              </w:rPr>
              <w:t>3. Shadow deployment</w:t>
            </w:r>
          </w:p>
        </w:tc>
        <w:tc>
          <w:tcPr>
            <w:tcW w:type="dxa" w:w="936"/>
            <w:vAlign w:val="top"/>
            <w:tcMar>
              <w:top w:w="80" w:type="dxa"/>
              <w:start w:w="120" w:type="dxa"/>
              <w:bottom w:w="80" w:type="dxa"/>
              <w:end w:w="120" w:type="dxa"/>
            </w:tcMar>
            <w:shd w:fill="F6F5F7"/>
          </w:tcPr>
          <w:p>
            <w:pPr>
              <w:spacing w:after="40"/>
              <w:jc w:val="left"/>
            </w:pPr>
            <w:r>
              <w:rPr>
                <w:sz w:val="16"/>
              </w:rPr>
              <w:t>9–12</w:t>
            </w:r>
          </w:p>
        </w:tc>
        <w:tc>
          <w:tcPr>
            <w:tcW w:type="dxa" w:w="4824"/>
            <w:vAlign w:val="top"/>
            <w:tcMar>
              <w:top w:w="80" w:type="dxa"/>
              <w:start w:w="120" w:type="dxa"/>
              <w:bottom w:w="80" w:type="dxa"/>
              <w:end w:w="120" w:type="dxa"/>
            </w:tcMar>
            <w:shd w:fill="F6F5F7"/>
          </w:tcPr>
          <w:p>
            <w:pPr>
              <w:spacing w:after="40"/>
              <w:jc w:val="left"/>
            </w:pPr>
            <w:r>
              <w:rPr>
                <w:sz w:val="16"/>
              </w:rPr>
              <w:t>Nurse board, silent recommendations, usability and alert-burden study</w:t>
            </w:r>
          </w:p>
        </w:tc>
        <w:tc>
          <w:tcPr>
            <w:tcW w:type="dxa" w:w="2088"/>
            <w:vAlign w:val="top"/>
            <w:tcMar>
              <w:top w:w="80" w:type="dxa"/>
              <w:start w:w="120" w:type="dxa"/>
              <w:bottom w:w="80" w:type="dxa"/>
              <w:end w:w="120" w:type="dxa"/>
            </w:tcMar>
            <w:shd w:fill="F6F5F7"/>
          </w:tcPr>
          <w:p>
            <w:pPr>
              <w:spacing w:after="40"/>
              <w:jc w:val="left"/>
            </w:pPr>
            <w:r>
              <w:rPr>
                <w:sz w:val="16"/>
              </w:rPr>
              <w:t>No critical safety blocker; adoption and reliability thresholds met</w:t>
            </w:r>
          </w:p>
        </w:tc>
      </w:tr>
      <w:tr>
        <w:trPr>
          <w:cantSplit/>
        </w:trPr>
        <w:tc>
          <w:tcPr>
            <w:tcW w:type="dxa" w:w="1800"/>
            <w:vAlign w:val="top"/>
            <w:tcMar>
              <w:top w:w="80" w:type="dxa"/>
              <w:start w:w="120" w:type="dxa"/>
              <w:bottom w:w="80" w:type="dxa"/>
              <w:end w:w="120" w:type="dxa"/>
            </w:tcMar>
          </w:tcPr>
          <w:p>
            <w:pPr>
              <w:spacing w:after="40"/>
              <w:jc w:val="left"/>
            </w:pPr>
            <w:r>
              <w:rPr>
                <w:sz w:val="16"/>
              </w:rPr>
              <w:t>4. Controlled workflow pilot</w:t>
            </w:r>
          </w:p>
        </w:tc>
        <w:tc>
          <w:tcPr>
            <w:tcW w:type="dxa" w:w="936"/>
            <w:vAlign w:val="top"/>
            <w:tcMar>
              <w:top w:w="80" w:type="dxa"/>
              <w:start w:w="120" w:type="dxa"/>
              <w:bottom w:w="80" w:type="dxa"/>
              <w:end w:w="120" w:type="dxa"/>
            </w:tcMar>
          </w:tcPr>
          <w:p>
            <w:pPr>
              <w:spacing w:after="40"/>
              <w:jc w:val="left"/>
            </w:pPr>
            <w:r>
              <w:rPr>
                <w:sz w:val="16"/>
              </w:rPr>
              <w:t>13–16</w:t>
            </w:r>
          </w:p>
        </w:tc>
        <w:tc>
          <w:tcPr>
            <w:tcW w:type="dxa" w:w="4824"/>
            <w:vAlign w:val="top"/>
            <w:tcMar>
              <w:top w:w="80" w:type="dxa"/>
              <w:start w:w="120" w:type="dxa"/>
              <w:bottom w:w="80" w:type="dxa"/>
              <w:end w:w="120" w:type="dxa"/>
            </w:tcMar>
          </w:tcPr>
          <w:p>
            <w:pPr>
              <w:spacing w:after="40"/>
              <w:jc w:val="left"/>
            </w:pPr>
            <w:r>
              <w:rPr>
                <w:sz w:val="16"/>
              </w:rPr>
              <w:t>Limited decision-support use, weekly governance, rollback and independent analysis</w:t>
            </w:r>
          </w:p>
        </w:tc>
        <w:tc>
          <w:tcPr>
            <w:tcW w:type="dxa" w:w="2088"/>
            <w:vAlign w:val="top"/>
            <w:tcMar>
              <w:top w:w="80" w:type="dxa"/>
              <w:start w:w="120" w:type="dxa"/>
              <w:bottom w:w="80" w:type="dxa"/>
              <w:end w:w="120" w:type="dxa"/>
            </w:tcMar>
          </w:tcPr>
          <w:p>
            <w:pPr>
              <w:spacing w:after="40"/>
              <w:jc w:val="left"/>
            </w:pPr>
            <w:r>
              <w:rPr>
                <w:sz w:val="16"/>
              </w:rPr>
              <w:t>Joint clinical/quality/IT go-no-go for expansion</w:t>
            </w:r>
          </w:p>
        </w:tc>
      </w:tr>
    </w:tbl>
    <w:p>
      <w:pPr>
        <w:spacing w:after="20"/>
      </w:pPr>
    </w:p>
    <w:p>
      <w:pPr>
        <w:pStyle w:val="Heading2"/>
        <w:keepNext/>
      </w:pPr>
      <w:r>
        <w:t>Pilot success scorecard</w:t>
      </w:r>
    </w:p>
    <w:p>
      <w:pPr>
        <w:pStyle w:val="ListBullet"/>
        <w:spacing w:after="60"/>
        <w:ind w:left="490" w:hanging="230"/>
        <w:keepLines/>
      </w:pPr>
      <w:r>
        <w:t>Safety: hard-rule sensitivity, missed-window rate, subgroup parity, Safe Mode/abstention and override review.</w:t>
      </w:r>
    </w:p>
    <w:p>
      <w:pPr>
        <w:pStyle w:val="ListBullet"/>
        <w:spacing w:after="60"/>
        <w:ind w:left="490" w:hanging="230"/>
        <w:keepLines/>
      </w:pPr>
      <w:r>
        <w:t>Operations: signal-to-review, negative-Slack resolution, low-acuity wait guardrail and system availability.</w:t>
      </w:r>
    </w:p>
    <w:p>
      <w:pPr>
        <w:pStyle w:val="ListBullet"/>
        <w:spacing w:after="60"/>
        <w:ind w:left="490" w:hanging="230"/>
        <w:keepLines/>
      </w:pPr>
      <w:r>
        <w:t>Human factors: comprehension in seconds, alert burden, task completion, trust calibration and override quality.</w:t>
      </w:r>
    </w:p>
    <w:p>
      <w:pPr>
        <w:pStyle w:val="ListBullet"/>
        <w:spacing w:after="60"/>
        <w:ind w:left="490" w:hanging="230"/>
        <w:keepLines/>
      </w:pPr>
      <w:r>
        <w:t>Governance: complete decision receipts, incident closure, model/configuration traceability and approved release record.</w:t>
      </w:r>
    </w:p>
    <w:p>
      <w:r>
        <w:br w:type="page"/>
      </w:r>
    </w:p>
    <w:p>
      <w:pPr>
        <w:pStyle w:val="Heading1"/>
        <w:keepNext/>
      </w:pPr>
      <w:r>
        <w:t>12. Risks and mitigations</w:t>
      </w:r>
    </w:p>
    <w:p>
      <w:pPr>
        <w:pStyle w:val="Subtitle"/>
        <w:spacing w:after="200"/>
      </w:pPr>
      <w:r>
        <w:t>Designing for the reasons clinical AI projects fail</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520"/>
            <w:shd w:fill="52163E"/>
            <w:vAlign w:val="center"/>
            <w:tcMar>
              <w:top w:w="80" w:type="dxa"/>
              <w:start w:w="120" w:type="dxa"/>
              <w:bottom w:w="80" w:type="dxa"/>
              <w:end w:w="120" w:type="dxa"/>
            </w:tcMar>
          </w:tcPr>
          <w:p>
            <w:pPr>
              <w:jc w:val="left"/>
            </w:pPr>
            <w:r>
              <w:rPr>
                <w:b/>
                <w:color w:val="FFFFFF"/>
                <w:sz w:val="17"/>
              </w:rPr>
              <w:t>Risk</w:t>
            </w:r>
          </w:p>
        </w:tc>
        <w:tc>
          <w:tcPr>
            <w:tcW w:type="dxa" w:w="4320"/>
            <w:shd w:fill="52163E"/>
            <w:vAlign w:val="center"/>
            <w:tcMar>
              <w:top w:w="80" w:type="dxa"/>
              <w:start w:w="120" w:type="dxa"/>
              <w:bottom w:w="80" w:type="dxa"/>
              <w:end w:w="120" w:type="dxa"/>
            </w:tcMar>
          </w:tcPr>
          <w:p>
            <w:pPr>
              <w:jc w:val="left"/>
            </w:pPr>
            <w:r>
              <w:rPr>
                <w:b/>
                <w:color w:val="FFFFFF"/>
                <w:sz w:val="17"/>
              </w:rPr>
              <w:t>Mitigation</w:t>
            </w:r>
          </w:p>
        </w:tc>
        <w:tc>
          <w:tcPr>
            <w:tcW w:type="dxa" w:w="2808"/>
            <w:shd w:fill="52163E"/>
            <w:vAlign w:val="center"/>
            <w:tcMar>
              <w:top w:w="80" w:type="dxa"/>
              <w:start w:w="120" w:type="dxa"/>
              <w:bottom w:w="80" w:type="dxa"/>
              <w:end w:w="120" w:type="dxa"/>
            </w:tcMar>
          </w:tcPr>
          <w:p>
            <w:pPr>
              <w:jc w:val="left"/>
            </w:pPr>
            <w:r>
              <w:rPr>
                <w:b/>
                <w:color w:val="FFFFFF"/>
                <w:sz w:val="17"/>
              </w:rPr>
              <w:t>Fallback / stop condition</w:t>
            </w:r>
          </w:p>
        </w:tc>
      </w:tr>
      <w:tr>
        <w:trPr>
          <w:cantSplit/>
        </w:trPr>
        <w:tc>
          <w:tcPr>
            <w:tcW w:type="dxa" w:w="2520"/>
            <w:vAlign w:val="top"/>
            <w:tcMar>
              <w:top w:w="80" w:type="dxa"/>
              <w:start w:w="120" w:type="dxa"/>
              <w:bottom w:w="80" w:type="dxa"/>
              <w:end w:w="120" w:type="dxa"/>
            </w:tcMar>
          </w:tcPr>
          <w:p>
            <w:pPr>
              <w:spacing w:after="40"/>
              <w:jc w:val="left"/>
            </w:pPr>
            <w:r>
              <w:rPr>
                <w:sz w:val="16"/>
              </w:rPr>
              <w:t>Synthetic logic appears clinically arbitrary</w:t>
            </w:r>
          </w:p>
        </w:tc>
        <w:tc>
          <w:tcPr>
            <w:tcW w:type="dxa" w:w="4320"/>
            <w:vAlign w:val="top"/>
            <w:tcMar>
              <w:top w:w="80" w:type="dxa"/>
              <w:start w:w="120" w:type="dxa"/>
              <w:bottom w:w="80" w:type="dxa"/>
              <w:end w:w="120" w:type="dxa"/>
            </w:tcMar>
          </w:tcPr>
          <w:p>
            <w:pPr>
              <w:spacing w:after="40"/>
              <w:jc w:val="left"/>
            </w:pPr>
            <w:r>
              <w:rPr>
                <w:sz w:val="16"/>
              </w:rPr>
              <w:t>Publish assumptions; local clinician review; retrospective recalibration</w:t>
            </w:r>
          </w:p>
        </w:tc>
        <w:tc>
          <w:tcPr>
            <w:tcW w:type="dxa" w:w="2808"/>
            <w:vAlign w:val="top"/>
            <w:tcMar>
              <w:top w:w="80" w:type="dxa"/>
              <w:start w:w="120" w:type="dxa"/>
              <w:bottom w:w="80" w:type="dxa"/>
              <w:end w:w="120" w:type="dxa"/>
            </w:tcMar>
          </w:tcPr>
          <w:p>
            <w:pPr>
              <w:spacing w:after="40"/>
              <w:jc w:val="left"/>
            </w:pPr>
            <w:r>
              <w:rPr>
                <w:sz w:val="16"/>
              </w:rPr>
              <w:t>Simplify and disclose; no clinical use until plausibility accepted</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Action Window is mistaken for a safety guarantee</w:t>
            </w:r>
          </w:p>
        </w:tc>
        <w:tc>
          <w:tcPr>
            <w:tcW w:type="dxa" w:w="4320"/>
            <w:vAlign w:val="top"/>
            <w:tcMar>
              <w:top w:w="80" w:type="dxa"/>
              <w:start w:w="120" w:type="dxa"/>
              <w:bottom w:w="80" w:type="dxa"/>
              <w:end w:w="120" w:type="dxa"/>
            </w:tcMar>
            <w:shd w:fill="F6F5F7"/>
          </w:tcPr>
          <w:p>
            <w:pPr>
              <w:spacing w:after="40"/>
              <w:jc w:val="left"/>
            </w:pPr>
            <w:r>
              <w:rPr>
                <w:sz w:val="16"/>
              </w:rPr>
              <w:t>Use ‘recommended within,’ show basis and capacity separately</w:t>
            </w:r>
          </w:p>
        </w:tc>
        <w:tc>
          <w:tcPr>
            <w:tcW w:type="dxa" w:w="2808"/>
            <w:vAlign w:val="top"/>
            <w:tcMar>
              <w:top w:w="80" w:type="dxa"/>
              <w:start w:w="120" w:type="dxa"/>
              <w:bottom w:w="80" w:type="dxa"/>
              <w:end w:w="120" w:type="dxa"/>
            </w:tcMar>
            <w:shd w:fill="F6F5F7"/>
          </w:tcPr>
          <w:p>
            <w:pPr>
              <w:spacing w:after="40"/>
              <w:jc w:val="left"/>
            </w:pPr>
            <w:r>
              <w:rPr>
                <w:sz w:val="16"/>
              </w:rPr>
              <w:t>Block release on any ‘safe until’ language</w:t>
            </w:r>
          </w:p>
        </w:tc>
      </w:tr>
      <w:tr>
        <w:trPr>
          <w:cantSplit/>
        </w:trPr>
        <w:tc>
          <w:tcPr>
            <w:tcW w:type="dxa" w:w="2520"/>
            <w:vAlign w:val="top"/>
            <w:tcMar>
              <w:top w:w="80" w:type="dxa"/>
              <w:start w:w="120" w:type="dxa"/>
              <w:bottom w:w="80" w:type="dxa"/>
              <w:end w:w="120" w:type="dxa"/>
            </w:tcMar>
          </w:tcPr>
          <w:p>
            <w:pPr>
              <w:spacing w:after="40"/>
              <w:jc w:val="left"/>
            </w:pPr>
            <w:r>
              <w:rPr>
                <w:sz w:val="16"/>
              </w:rPr>
              <w:t>Rare critical cases are under-covered</w:t>
            </w:r>
          </w:p>
        </w:tc>
        <w:tc>
          <w:tcPr>
            <w:tcW w:type="dxa" w:w="4320"/>
            <w:vAlign w:val="top"/>
            <w:tcMar>
              <w:top w:w="80" w:type="dxa"/>
              <w:start w:w="120" w:type="dxa"/>
              <w:bottom w:w="80" w:type="dxa"/>
              <w:end w:w="120" w:type="dxa"/>
            </w:tcMar>
          </w:tcPr>
          <w:p>
            <w:pPr>
              <w:spacing w:after="40"/>
              <w:jc w:val="left"/>
            </w:pPr>
            <w:r>
              <w:rPr>
                <w:sz w:val="16"/>
              </w:rPr>
              <w:t>Recall constraints, conformal uncertainty, stress/subgroup tests</w:t>
            </w:r>
          </w:p>
        </w:tc>
        <w:tc>
          <w:tcPr>
            <w:tcW w:type="dxa" w:w="2808"/>
            <w:vAlign w:val="top"/>
            <w:tcMar>
              <w:top w:w="80" w:type="dxa"/>
              <w:start w:w="120" w:type="dxa"/>
              <w:bottom w:w="80" w:type="dxa"/>
              <w:end w:w="120" w:type="dxa"/>
            </w:tcMar>
          </w:tcPr>
          <w:p>
            <w:pPr>
              <w:spacing w:after="40"/>
              <w:jc w:val="left"/>
            </w:pPr>
            <w:r>
              <w:rPr>
                <w:sz w:val="16"/>
              </w:rPr>
              <w:t>Raise review rate; revert to deterministic rules</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Alert burden overwhelms nurses</w:t>
            </w:r>
          </w:p>
        </w:tc>
        <w:tc>
          <w:tcPr>
            <w:tcW w:type="dxa" w:w="4320"/>
            <w:vAlign w:val="top"/>
            <w:tcMar>
              <w:top w:w="80" w:type="dxa"/>
              <w:start w:w="120" w:type="dxa"/>
              <w:bottom w:w="80" w:type="dxa"/>
              <w:end w:w="120" w:type="dxa"/>
            </w:tcMar>
            <w:shd w:fill="F6F5F7"/>
          </w:tcPr>
          <w:p>
            <w:pPr>
              <w:spacing w:after="40"/>
              <w:jc w:val="left"/>
            </w:pPr>
            <w:r>
              <w:rPr>
                <w:sz w:val="16"/>
              </w:rPr>
              <w:t>Consolidated signal, unchanged suppression and two-denominator alert budget</w:t>
            </w:r>
          </w:p>
        </w:tc>
        <w:tc>
          <w:tcPr>
            <w:tcW w:type="dxa" w:w="2808"/>
            <w:vAlign w:val="top"/>
            <w:tcMar>
              <w:top w:w="80" w:type="dxa"/>
              <w:start w:w="120" w:type="dxa"/>
              <w:bottom w:w="80" w:type="dxa"/>
              <w:end w:w="120" w:type="dxa"/>
            </w:tcMar>
            <w:shd w:fill="F6F5F7"/>
          </w:tcPr>
          <w:p>
            <w:pPr>
              <w:spacing w:after="40"/>
              <w:jc w:val="left"/>
            </w:pPr>
            <w:r>
              <w:rPr>
                <w:sz w:val="16"/>
              </w:rPr>
              <w:t>Current synthetic surge range is 0.86–1.12 alerts/waiting-patient-hour and 2.20–5.56 alerts/reassessment-nurse-hour; Community is the warning case</w:t>
            </w:r>
          </w:p>
        </w:tc>
      </w:tr>
      <w:tr>
        <w:trPr>
          <w:cantSplit/>
        </w:trPr>
        <w:tc>
          <w:tcPr>
            <w:tcW w:type="dxa" w:w="2520"/>
            <w:vAlign w:val="top"/>
            <w:tcMar>
              <w:top w:w="80" w:type="dxa"/>
              <w:start w:w="120" w:type="dxa"/>
              <w:bottom w:w="80" w:type="dxa"/>
              <w:end w:w="120" w:type="dxa"/>
            </w:tcMar>
          </w:tcPr>
          <w:p>
            <w:pPr>
              <w:spacing w:after="40"/>
              <w:jc w:val="left"/>
            </w:pPr>
            <w:r>
              <w:rPr>
                <w:sz w:val="16"/>
              </w:rPr>
              <w:t>Queue policy starves lower-acuity patients</w:t>
            </w:r>
          </w:p>
        </w:tc>
        <w:tc>
          <w:tcPr>
            <w:tcW w:type="dxa" w:w="4320"/>
            <w:vAlign w:val="top"/>
            <w:tcMar>
              <w:top w:w="80" w:type="dxa"/>
              <w:start w:w="120" w:type="dxa"/>
              <w:bottom w:w="80" w:type="dxa"/>
              <w:end w:w="120" w:type="dxa"/>
            </w:tcMar>
          </w:tcPr>
          <w:p>
            <w:pPr>
              <w:spacing w:after="40"/>
              <w:jc w:val="left"/>
            </w:pPr>
            <w:r>
              <w:rPr>
                <w:sz w:val="16"/>
              </w:rPr>
              <w:t>Absolute deadline aging and low-acuity P90 guardrail</w:t>
            </w:r>
          </w:p>
        </w:tc>
        <w:tc>
          <w:tcPr>
            <w:tcW w:type="dxa" w:w="2808"/>
            <w:vAlign w:val="top"/>
            <w:tcMar>
              <w:top w:w="80" w:type="dxa"/>
              <w:start w:w="120" w:type="dxa"/>
              <w:bottom w:w="80" w:type="dxa"/>
              <w:end w:w="120" w:type="dxa"/>
            </w:tcMar>
          </w:tcPr>
          <w:p>
            <w:pPr>
              <w:spacing w:after="40"/>
              <w:jc w:val="left"/>
            </w:pPr>
            <w:r>
              <w:rPr>
                <w:sz w:val="16"/>
              </w:rPr>
              <w:t>Add fairness constraint and rerun evaluation</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Integration or service fails</w:t>
            </w:r>
          </w:p>
        </w:tc>
        <w:tc>
          <w:tcPr>
            <w:tcW w:type="dxa" w:w="4320"/>
            <w:vAlign w:val="top"/>
            <w:tcMar>
              <w:top w:w="80" w:type="dxa"/>
              <w:start w:w="120" w:type="dxa"/>
              <w:bottom w:w="80" w:type="dxa"/>
              <w:end w:w="120" w:type="dxa"/>
            </w:tcMar>
            <w:shd w:fill="F6F5F7"/>
          </w:tcPr>
          <w:p>
            <w:pPr>
              <w:spacing w:after="40"/>
              <w:jc w:val="left"/>
            </w:pPr>
            <w:r>
              <w:rPr>
                <w:sz w:val="16"/>
              </w:rPr>
              <w:t>Thin adapter, versioned contract and explicit degraded states</w:t>
            </w:r>
          </w:p>
        </w:tc>
        <w:tc>
          <w:tcPr>
            <w:tcW w:type="dxa" w:w="2808"/>
            <w:vAlign w:val="top"/>
            <w:tcMar>
              <w:top w:w="80" w:type="dxa"/>
              <w:start w:w="120" w:type="dxa"/>
              <w:bottom w:w="80" w:type="dxa"/>
              <w:end w:w="120" w:type="dxa"/>
            </w:tcMar>
            <w:shd w:fill="F6F5F7"/>
          </w:tcPr>
          <w:p>
            <w:pPr>
              <w:spacing w:after="40"/>
              <w:jc w:val="left"/>
            </w:pPr>
            <w:r>
              <w:rPr>
                <w:sz w:val="16"/>
              </w:rPr>
              <w:t>Rules/category workflow; feasibility unknown; local downtime SOP</w:t>
            </w:r>
          </w:p>
        </w:tc>
      </w:tr>
      <w:tr>
        <w:trPr>
          <w:cantSplit/>
        </w:trPr>
        <w:tc>
          <w:tcPr>
            <w:tcW w:type="dxa" w:w="2520"/>
            <w:vAlign w:val="top"/>
            <w:tcMar>
              <w:top w:w="80" w:type="dxa"/>
              <w:start w:w="120" w:type="dxa"/>
              <w:bottom w:w="80" w:type="dxa"/>
              <w:end w:w="120" w:type="dxa"/>
            </w:tcMar>
          </w:tcPr>
          <w:p>
            <w:pPr>
              <w:spacing w:after="40"/>
              <w:jc w:val="left"/>
            </w:pPr>
            <w:r>
              <w:rPr>
                <w:sz w:val="16"/>
              </w:rPr>
              <w:t>Privacy/regulatory language becomes outdated</w:t>
            </w:r>
          </w:p>
        </w:tc>
        <w:tc>
          <w:tcPr>
            <w:tcW w:type="dxa" w:w="4320"/>
            <w:vAlign w:val="top"/>
            <w:tcMar>
              <w:top w:w="80" w:type="dxa"/>
              <w:start w:w="120" w:type="dxa"/>
              <w:bottom w:w="80" w:type="dxa"/>
              <w:end w:w="120" w:type="dxa"/>
            </w:tcMar>
          </w:tcPr>
          <w:p>
            <w:pPr>
              <w:spacing w:after="40"/>
              <w:jc w:val="left"/>
            </w:pPr>
            <w:r>
              <w:rPr>
                <w:sz w:val="16"/>
              </w:rPr>
              <w:t>Official sources, minimum necessary data and scheduled legal review</w:t>
            </w:r>
          </w:p>
        </w:tc>
        <w:tc>
          <w:tcPr>
            <w:tcW w:type="dxa" w:w="2808"/>
            <w:vAlign w:val="top"/>
            <w:tcMar>
              <w:top w:w="80" w:type="dxa"/>
              <w:start w:w="120" w:type="dxa"/>
              <w:bottom w:w="80" w:type="dxa"/>
              <w:end w:w="120" w:type="dxa"/>
            </w:tcMar>
          </w:tcPr>
          <w:p>
            <w:pPr>
              <w:spacing w:after="40"/>
              <w:jc w:val="left"/>
            </w:pPr>
            <w:r>
              <w:rPr>
                <w:sz w:val="16"/>
              </w:rPr>
              <w:t>Pause deployment claim and re-verify</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Metrics are selectively reported</w:t>
            </w:r>
          </w:p>
        </w:tc>
        <w:tc>
          <w:tcPr>
            <w:tcW w:type="dxa" w:w="4320"/>
            <w:vAlign w:val="top"/>
            <w:tcMar>
              <w:top w:w="80" w:type="dxa"/>
              <w:start w:w="120" w:type="dxa"/>
              <w:bottom w:w="80" w:type="dxa"/>
              <w:end w:w="120" w:type="dxa"/>
            </w:tcMar>
            <w:shd w:fill="F6F5F7"/>
          </w:tcPr>
          <w:p>
            <w:pPr>
              <w:spacing w:after="40"/>
              <w:jc w:val="left"/>
            </w:pPr>
            <w:r>
              <w:rPr>
                <w:sz w:val="16"/>
              </w:rPr>
              <w:t>Predeclared protocols, paired seeds, confidence intervals and negative results</w:t>
            </w:r>
          </w:p>
        </w:tc>
        <w:tc>
          <w:tcPr>
            <w:tcW w:type="dxa" w:w="2808"/>
            <w:vAlign w:val="top"/>
            <w:tcMar>
              <w:top w:w="80" w:type="dxa"/>
              <w:start w:w="120" w:type="dxa"/>
              <w:bottom w:w="80" w:type="dxa"/>
              <w:end w:w="120" w:type="dxa"/>
            </w:tcMar>
            <w:shd w:fill="F6F5F7"/>
          </w:tcPr>
          <w:p>
            <w:pPr>
              <w:spacing w:after="40"/>
              <w:jc w:val="left"/>
            </w:pPr>
            <w:r>
              <w:rPr>
                <w:sz w:val="16"/>
              </w:rPr>
              <w:t>Do not release unsupported claim</w:t>
            </w:r>
          </w:p>
        </w:tc>
      </w:tr>
    </w:tbl>
    <w:p>
      <w:pPr>
        <w:spacing w:after="20"/>
      </w:pPr>
    </w:p>
    <w:p>
      <w:r>
        <w:br w:type="page"/>
      </w:r>
    </w:p>
    <w:p>
      <w:pPr>
        <w:pStyle w:val="Heading1"/>
        <w:keepNext/>
      </w:pPr>
      <w:r>
        <w:t>13. Proposal to the jury</w:t>
      </w:r>
    </w:p>
    <w:p>
      <w:pPr>
        <w:pStyle w:val="Subtitle"/>
        <w:spacing w:after="200"/>
      </w:pPr>
      <w:r>
        <w:t>Why TriageLoop deserves to advance</w:t>
      </w:r>
    </w:p>
    <w:p>
      <w:pPr>
        <w:pStyle w:val="Heading2"/>
        <w:keepNext/>
      </w:pPr>
      <w:r>
        <w:t>The innovation</w:t>
      </w:r>
    </w:p>
    <w:p>
      <w:pPr>
        <w:keepLines/>
      </w:pPr>
      <w:r>
        <w:t>TriageLoop changes the unit of triage from a static category to an operational promise that can be checked: what must happen, by when, and whether the current ED can deliver it. The system is valuable precisely when capacity is constrained because it refuses to treat ranking as a substitute for capacity.</w:t>
      </w:r>
    </w:p>
    <w:p>
      <w:pPr>
        <w:pStyle w:val="Heading2"/>
        <w:keepNext/>
      </w:pPr>
      <w:r>
        <w:t>The proof</w:t>
      </w:r>
    </w:p>
    <w:p>
      <w:pPr>
        <w:keepLines/>
      </w:pPr>
      <w:r>
        <w:t>The concept is implemented as a working product with reproducible synthetic evidence, a stronger comparator, deterministic safety behavior, clinician control and a visible negative result that changes the product boundary. It covers the problem statement from ambiguous input and age-specific risk through surge, integration, adoption, privacy and auditability.</w:t>
      </w:r>
    </w:p>
    <w:p>
      <w:pPr>
        <w:pStyle w:val="Heading2"/>
        <w:keepNext/>
      </w:pPr>
      <w:r>
        <w:t>The next responsible step</w:t>
      </w:r>
    </w:p>
    <w:p>
      <w:pPr>
        <w:keepLines/>
      </w:pPr>
      <w:r>
        <w:t>Advance TriageLoop into a jointly governed local retrospective and shadow-mode evaluation. The objective is not to deploy an unvalidated model; it is to test whether deadline-aware triage can measurably improve waiting-room situational awareness and Action Window adherence without increasing unsafe misses, alert burden or inequity.</w:t>
      </w:r>
    </w:p>
    <w:p>
      <w:pPr>
        <w:spacing w:before="100" w:after="160" w:line="269" w:lineRule="auto"/>
        <w:ind w:left="115" w:right="115"/>
        <w:shd w:fill="F7EEF4"/>
        <w:jc w:val="left"/>
        <w:keepLines/>
      </w:pPr>
      <w:r>
        <w:rPr>
          <w:b/>
          <w:color w:val="7A1F5C"/>
        </w:rPr>
        <w:t xml:space="preserve">Closing line  </w:t>
      </w:r>
      <w:r>
        <w:t>When clinical need and operational reality diverge, TriageLoop makes the gap visible early enough for a clinician and charge nurse to act.</w:t>
      </w:r>
    </w:p>
    <w:p>
      <w:r>
        <w:br w:type="page"/>
      </w:r>
    </w:p>
    <w:p>
      <w:pPr>
        <w:pStyle w:val="Heading1"/>
        <w:keepNext/>
      </w:pPr>
      <w:r>
        <w:t>Appendix A. Full problem-statement coverage</w:t>
      </w:r>
    </w:p>
    <w:p>
      <w:pPr>
        <w:pStyle w:val="Subtitle"/>
        <w:spacing w:after="200"/>
      </w:pPr>
      <w:r>
        <w:t>Every stated complexity has a visible or verified response</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376"/>
            <w:shd w:fill="52163E"/>
            <w:vAlign w:val="center"/>
            <w:tcMar>
              <w:top w:w="80" w:type="dxa"/>
              <w:start w:w="120" w:type="dxa"/>
              <w:bottom w:w="80" w:type="dxa"/>
              <w:end w:w="120" w:type="dxa"/>
            </w:tcMar>
          </w:tcPr>
          <w:p>
            <w:pPr>
              <w:jc w:val="left"/>
            </w:pPr>
            <w:r>
              <w:rPr>
                <w:b/>
                <w:color w:val="FFFFFF"/>
                <w:sz w:val="17"/>
              </w:rPr>
              <w:t>Coverage group</w:t>
            </w:r>
          </w:p>
        </w:tc>
        <w:tc>
          <w:tcPr>
            <w:tcW w:type="dxa" w:w="7272"/>
            <w:shd w:fill="52163E"/>
            <w:vAlign w:val="center"/>
            <w:tcMar>
              <w:top w:w="80" w:type="dxa"/>
              <w:start w:w="120" w:type="dxa"/>
              <w:bottom w:w="80" w:type="dxa"/>
              <w:end w:w="120" w:type="dxa"/>
            </w:tcMar>
          </w:tcPr>
          <w:p>
            <w:pPr>
              <w:jc w:val="left"/>
            </w:pPr>
            <w:r>
              <w:rPr>
                <w:b/>
                <w:color w:val="FFFFFF"/>
                <w:sz w:val="17"/>
              </w:rPr>
              <w:t>Implemented evidence</w:t>
            </w:r>
          </w:p>
        </w:tc>
      </w:tr>
      <w:tr>
        <w:trPr>
          <w:cantSplit/>
        </w:trPr>
        <w:tc>
          <w:tcPr>
            <w:tcW w:type="dxa" w:w="2376"/>
            <w:vAlign w:val="top"/>
            <w:tcMar>
              <w:top w:w="80" w:type="dxa"/>
              <w:start w:w="120" w:type="dxa"/>
              <w:bottom w:w="80" w:type="dxa"/>
              <w:end w:w="120" w:type="dxa"/>
            </w:tcMar>
          </w:tcPr>
          <w:p>
            <w:pPr>
              <w:spacing w:after="40"/>
              <w:jc w:val="left"/>
            </w:pPr>
            <w:r>
              <w:rPr>
                <w:sz w:val="16"/>
              </w:rPr>
              <w:t>Clinical complexity</w:t>
            </w:r>
          </w:p>
        </w:tc>
        <w:tc>
          <w:tcPr>
            <w:tcW w:type="dxa" w:w="7272"/>
            <w:vAlign w:val="top"/>
            <w:tcMar>
              <w:top w:w="80" w:type="dxa"/>
              <w:start w:w="120" w:type="dxa"/>
              <w:bottom w:w="80" w:type="dxa"/>
              <w:end w:w="120" w:type="dxa"/>
            </w:tcMar>
          </w:tcPr>
          <w:p>
            <w:pPr>
              <w:spacing w:after="40"/>
              <w:jc w:val="left"/>
            </w:pPr>
            <w:r>
              <w:rPr>
                <w:sz w:val="16"/>
              </w:rPr>
              <w:t>Ambiguity, under-reporting, age bands, missing data, zero history, repeated vitals and safe-wait triggers.</w:t>
            </w:r>
          </w:p>
        </w:tc>
      </w:tr>
      <w:tr>
        <w:trPr>
          <w:cantSplit/>
        </w:trPr>
        <w:tc>
          <w:tcPr>
            <w:tcW w:type="dxa" w:w="2376"/>
            <w:vAlign w:val="top"/>
            <w:tcMar>
              <w:top w:w="80" w:type="dxa"/>
              <w:start w:w="120" w:type="dxa"/>
              <w:bottom w:w="80" w:type="dxa"/>
              <w:end w:w="120" w:type="dxa"/>
            </w:tcMar>
            <w:shd w:fill="F6F5F7"/>
          </w:tcPr>
          <w:p>
            <w:pPr>
              <w:spacing w:after="40"/>
              <w:jc w:val="left"/>
            </w:pPr>
            <w:r>
              <w:rPr>
                <w:sz w:val="16"/>
              </w:rPr>
              <w:t>Modeling and uncertainty</w:t>
            </w:r>
          </w:p>
        </w:tc>
        <w:tc>
          <w:tcPr>
            <w:tcW w:type="dxa" w:w="7272"/>
            <w:vAlign w:val="top"/>
            <w:tcMar>
              <w:top w:w="80" w:type="dxa"/>
              <w:start w:w="120" w:type="dxa"/>
              <w:bottom w:w="80" w:type="dxa"/>
              <w:end w:w="120" w:type="dxa"/>
            </w:tcMar>
            <w:shd w:fill="F6F5F7"/>
          </w:tcPr>
          <w:p>
            <w:pPr>
              <w:spacing w:after="40"/>
              <w:jc w:val="left"/>
            </w:pPr>
            <w:r>
              <w:rPr>
                <w:sz w:val="16"/>
              </w:rPr>
              <w:t>Rules-first hybrid path, calibrated horizon risk, conformal/OOD state, asymmetric-cost analysis and explicit confidence.</w:t>
            </w:r>
          </w:p>
        </w:tc>
      </w:tr>
      <w:tr>
        <w:trPr>
          <w:cantSplit/>
        </w:trPr>
        <w:tc>
          <w:tcPr>
            <w:tcW w:type="dxa" w:w="2376"/>
            <w:vAlign w:val="top"/>
            <w:tcMar>
              <w:top w:w="80" w:type="dxa"/>
              <w:start w:w="120" w:type="dxa"/>
              <w:bottom w:w="80" w:type="dxa"/>
              <w:end w:w="120" w:type="dxa"/>
            </w:tcMar>
          </w:tcPr>
          <w:p>
            <w:pPr>
              <w:spacing w:after="40"/>
              <w:jc w:val="left"/>
            </w:pPr>
            <w:r>
              <w:rPr>
                <w:sz w:val="16"/>
              </w:rPr>
              <w:t>Operations</w:t>
            </w:r>
          </w:p>
        </w:tc>
        <w:tc>
          <w:tcPr>
            <w:tcW w:type="dxa" w:w="7272"/>
            <w:vAlign w:val="top"/>
            <w:tcMar>
              <w:top w:w="80" w:type="dxa"/>
              <w:start w:w="120" w:type="dxa"/>
              <w:bottom w:w="80" w:type="dxa"/>
              <w:end w:w="120" w:type="dxa"/>
            </w:tcMar>
          </w:tcPr>
          <w:p>
            <w:pPr>
              <w:spacing w:after="40"/>
              <w:jc w:val="left"/>
            </w:pPr>
            <w:r>
              <w:rPr>
                <w:sz w:val="16"/>
              </w:rPr>
              <w:t>100/300/550 visits/day profiles, baseline/3× demand, static/periodic/dynamic comparators and low-acuity guardrail.</w:t>
            </w:r>
          </w:p>
        </w:tc>
      </w:tr>
      <w:tr>
        <w:trPr>
          <w:cantSplit/>
        </w:trPr>
        <w:tc>
          <w:tcPr>
            <w:tcW w:type="dxa" w:w="2376"/>
            <w:vAlign w:val="top"/>
            <w:tcMar>
              <w:top w:w="80" w:type="dxa"/>
              <w:start w:w="120" w:type="dxa"/>
              <w:bottom w:w="80" w:type="dxa"/>
              <w:end w:w="120" w:type="dxa"/>
            </w:tcMar>
            <w:shd w:fill="F6F5F7"/>
          </w:tcPr>
          <w:p>
            <w:pPr>
              <w:spacing w:after="40"/>
              <w:jc w:val="left"/>
            </w:pPr>
            <w:r>
              <w:rPr>
                <w:sz w:val="16"/>
              </w:rPr>
              <w:t>Human authority</w:t>
            </w:r>
          </w:p>
        </w:tc>
        <w:tc>
          <w:tcPr>
            <w:tcW w:type="dxa" w:w="7272"/>
            <w:vAlign w:val="top"/>
            <w:tcMar>
              <w:top w:w="80" w:type="dxa"/>
              <w:start w:w="120" w:type="dxa"/>
              <w:bottom w:w="80" w:type="dxa"/>
              <w:end w:w="120" w:type="dxa"/>
            </w:tcMar>
            <w:shd w:fill="F6F5F7"/>
          </w:tcPr>
          <w:p>
            <w:pPr>
              <w:spacing w:after="40"/>
              <w:jc w:val="left"/>
            </w:pPr>
            <w:r>
              <w:rPr>
                <w:sz w:val="16"/>
              </w:rPr>
              <w:t>Seconds-oriented explanation, accept/modify/override, reason receipt and audit integrity.</w:t>
            </w:r>
          </w:p>
        </w:tc>
      </w:tr>
      <w:tr>
        <w:trPr>
          <w:cantSplit/>
        </w:trPr>
        <w:tc>
          <w:tcPr>
            <w:tcW w:type="dxa" w:w="2376"/>
            <w:vAlign w:val="top"/>
            <w:tcMar>
              <w:top w:w="80" w:type="dxa"/>
              <w:start w:w="120" w:type="dxa"/>
              <w:bottom w:w="80" w:type="dxa"/>
              <w:end w:w="120" w:type="dxa"/>
            </w:tcMar>
          </w:tcPr>
          <w:p>
            <w:pPr>
              <w:spacing w:after="40"/>
              <w:jc w:val="left"/>
            </w:pPr>
            <w:r>
              <w:rPr>
                <w:sz w:val="16"/>
              </w:rPr>
              <w:t>Integration</w:t>
            </w:r>
          </w:p>
        </w:tc>
        <w:tc>
          <w:tcPr>
            <w:tcW w:type="dxa" w:w="7272"/>
            <w:vAlign w:val="top"/>
            <w:tcMar>
              <w:top w:w="80" w:type="dxa"/>
              <w:start w:w="120" w:type="dxa"/>
              <w:bottom w:w="80" w:type="dxa"/>
              <w:end w:w="120" w:type="dxa"/>
            </w:tcMar>
          </w:tcPr>
          <w:p>
            <w:pPr>
              <w:spacing w:after="40"/>
              <w:jc w:val="left"/>
            </w:pPr>
            <w:r>
              <w:rPr>
                <w:sz w:val="16"/>
              </w:rPr>
              <w:t>FHIR-like JSON, CSV/manual prototype intake, adapters, container deployment and degraded modes.</w:t>
            </w:r>
          </w:p>
        </w:tc>
      </w:tr>
      <w:tr>
        <w:trPr>
          <w:cantSplit/>
        </w:trPr>
        <w:tc>
          <w:tcPr>
            <w:tcW w:type="dxa" w:w="2376"/>
            <w:vAlign w:val="top"/>
            <w:tcMar>
              <w:top w:w="80" w:type="dxa"/>
              <w:start w:w="120" w:type="dxa"/>
              <w:bottom w:w="80" w:type="dxa"/>
              <w:end w:w="120" w:type="dxa"/>
            </w:tcMar>
            <w:shd w:fill="F6F5F7"/>
          </w:tcPr>
          <w:p>
            <w:pPr>
              <w:spacing w:after="40"/>
              <w:jc w:val="left"/>
            </w:pPr>
            <w:r>
              <w:rPr>
                <w:sz w:val="16"/>
              </w:rPr>
              <w:t>Adoption and protection</w:t>
            </w:r>
          </w:p>
        </w:tc>
        <w:tc>
          <w:tcPr>
            <w:tcW w:type="dxa" w:w="7272"/>
            <w:vAlign w:val="top"/>
            <w:tcMar>
              <w:top w:w="80" w:type="dxa"/>
              <w:start w:w="120" w:type="dxa"/>
              <w:bottom w:w="80" w:type="dxa"/>
              <w:end w:w="120" w:type="dxa"/>
            </w:tcMar>
            <w:shd w:fill="F6F5F7"/>
          </w:tcPr>
          <w:p>
            <w:pPr>
              <w:spacing w:after="40"/>
              <w:jc w:val="left"/>
            </w:pPr>
            <w:r>
              <w:rPr>
                <w:sz w:val="16"/>
              </w:rPr>
              <w:t>Alert budget, workflow-first UI, synthetic/pseudonymous boundary, India governance baseline and staged rollout.</w:t>
            </w:r>
          </w:p>
        </w:tc>
      </w:tr>
      <w:tr>
        <w:trPr>
          <w:cantSplit/>
        </w:trPr>
        <w:tc>
          <w:tcPr>
            <w:tcW w:type="dxa" w:w="2376"/>
            <w:vAlign w:val="top"/>
            <w:tcMar>
              <w:top w:w="80" w:type="dxa"/>
              <w:start w:w="120" w:type="dxa"/>
              <w:bottom w:w="80" w:type="dxa"/>
              <w:end w:w="120" w:type="dxa"/>
            </w:tcMar>
          </w:tcPr>
          <w:p>
            <w:pPr>
              <w:spacing w:after="40"/>
              <w:jc w:val="left"/>
            </w:pPr>
            <w:r>
              <w:rPr>
                <w:sz w:val="16"/>
              </w:rPr>
              <w:t>Evaluation</w:t>
            </w:r>
          </w:p>
        </w:tc>
        <w:tc>
          <w:tcPr>
            <w:tcW w:type="dxa" w:w="7272"/>
            <w:vAlign w:val="top"/>
            <w:tcMar>
              <w:top w:w="80" w:type="dxa"/>
              <w:start w:w="120" w:type="dxa"/>
              <w:bottom w:w="80" w:type="dxa"/>
              <w:end w:w="120" w:type="dxa"/>
            </w:tcMar>
          </w:tcPr>
          <w:p>
            <w:pPr>
              <w:spacing w:after="40"/>
              <w:jc w:val="left"/>
            </w:pPr>
            <w:r>
              <w:rPr>
                <w:sz w:val="16"/>
              </w:rPr>
              <w:t>28 curated cases, 1,200 paired shifts, confidence intervals, 73 tests, NBO failure and external plausibility limitation.</w:t>
            </w:r>
          </w:p>
        </w:tc>
      </w:tr>
    </w:tbl>
    <w:p>
      <w:pPr>
        <w:spacing w:after="20"/>
      </w:pPr>
    </w:p>
    <w:p>
      <w:r>
        <w:br w:type="page"/>
      </w:r>
    </w:p>
    <w:p>
      <w:pPr>
        <w:pStyle w:val="Heading1"/>
        <w:keepNext/>
      </w:pPr>
      <w:r>
        <w:t>Appendix B. Source and evidence notes</w:t>
      </w:r>
    </w:p>
    <w:p>
      <w:pPr>
        <w:pStyle w:val="Subtitle"/>
        <w:spacing w:after="200"/>
      </w:pPr>
      <w:r>
        <w:t>External references support rationale; local artifacts support prototype claims</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2520"/>
            <w:shd w:fill="52163E"/>
            <w:vAlign w:val="center"/>
            <w:tcMar>
              <w:top w:w="80" w:type="dxa"/>
              <w:start w:w="120" w:type="dxa"/>
              <w:bottom w:w="80" w:type="dxa"/>
              <w:end w:w="120" w:type="dxa"/>
            </w:tcMar>
          </w:tcPr>
          <w:p>
            <w:pPr>
              <w:jc w:val="left"/>
            </w:pPr>
            <w:r>
              <w:rPr>
                <w:b/>
                <w:color w:val="FFFFFF"/>
                <w:sz w:val="17"/>
              </w:rPr>
              <w:t>Source</w:t>
            </w:r>
          </w:p>
        </w:tc>
        <w:tc>
          <w:tcPr>
            <w:tcW w:type="dxa" w:w="7128"/>
            <w:shd w:fill="52163E"/>
            <w:vAlign w:val="center"/>
            <w:tcMar>
              <w:top w:w="80" w:type="dxa"/>
              <w:start w:w="120" w:type="dxa"/>
              <w:bottom w:w="80" w:type="dxa"/>
              <w:end w:w="120" w:type="dxa"/>
            </w:tcMar>
          </w:tcPr>
          <w:p>
            <w:pPr>
              <w:jc w:val="left"/>
            </w:pPr>
            <w:r>
              <w:rPr>
                <w:b/>
                <w:color w:val="FFFFFF"/>
                <w:sz w:val="17"/>
              </w:rPr>
              <w:t>Use / location</w:t>
            </w:r>
          </w:p>
        </w:tc>
      </w:tr>
      <w:tr>
        <w:trPr>
          <w:cantSplit/>
        </w:trPr>
        <w:tc>
          <w:tcPr>
            <w:tcW w:type="dxa" w:w="2520"/>
            <w:vAlign w:val="top"/>
            <w:tcMar>
              <w:top w:w="80" w:type="dxa"/>
              <w:start w:w="120" w:type="dxa"/>
              <w:bottom w:w="80" w:type="dxa"/>
              <w:end w:w="120" w:type="dxa"/>
            </w:tcMar>
          </w:tcPr>
          <w:p>
            <w:pPr>
              <w:spacing w:after="40"/>
              <w:jc w:val="left"/>
            </w:pPr>
            <w:r>
              <w:rPr>
                <w:sz w:val="16"/>
              </w:rPr>
              <w:t>Official competition brief</w:t>
            </w:r>
          </w:p>
        </w:tc>
        <w:tc>
          <w:tcPr>
            <w:tcW w:type="dxa" w:w="7128"/>
            <w:vAlign w:val="top"/>
            <w:tcMar>
              <w:top w:w="80" w:type="dxa"/>
              <w:start w:w="120" w:type="dxa"/>
              <w:bottom w:w="80" w:type="dxa"/>
              <w:end w:w="120" w:type="dxa"/>
            </w:tcMar>
          </w:tcPr>
          <w:p>
            <w:pPr>
              <w:spacing w:after="40"/>
              <w:jc w:val="left"/>
            </w:pPr>
            <w:r>
              <w:rPr>
                <w:sz w:val="16"/>
              </w:rPr>
              <w:t>Accenture Innovation Challenge 2026 Round 2 Patient Triage problem statement, supplied PDF, pp. 3–4 and 7.</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Official submission page</w:t>
            </w:r>
          </w:p>
        </w:tc>
        <w:tc>
          <w:tcPr>
            <w:tcW w:type="dxa" w:w="7128"/>
            <w:vAlign w:val="top"/>
            <w:tcMar>
              <w:top w:w="80" w:type="dxa"/>
              <w:start w:w="120" w:type="dxa"/>
              <w:bottom w:w="80" w:type="dxa"/>
              <w:end w:w="120" w:type="dxa"/>
            </w:tcMar>
            <w:shd w:fill="F6F5F7"/>
          </w:tcPr>
          <w:p>
            <w:pPr>
              <w:spacing w:after="40"/>
              <w:jc w:val="left"/>
            </w:pPr>
            <w:r>
              <w:rPr>
                <w:sz w:val="16"/>
              </w:rPr>
              <w:t>Unstop, Accenture Innovation Challenge 2026: https://unstop.com/competitions/accenture-innovation-challenge-2026-accenture-1714566/amp</w:t>
            </w:r>
          </w:p>
        </w:tc>
      </w:tr>
      <w:tr>
        <w:trPr>
          <w:cantSplit/>
        </w:trPr>
        <w:tc>
          <w:tcPr>
            <w:tcW w:type="dxa" w:w="2520"/>
            <w:vAlign w:val="top"/>
            <w:tcMar>
              <w:top w:w="80" w:type="dxa"/>
              <w:start w:w="120" w:type="dxa"/>
              <w:bottom w:w="80" w:type="dxa"/>
              <w:end w:w="120" w:type="dxa"/>
            </w:tcMar>
          </w:tcPr>
          <w:p>
            <w:pPr>
              <w:spacing w:after="40"/>
              <w:jc w:val="left"/>
            </w:pPr>
            <w:r>
              <w:rPr>
                <w:sz w:val="16"/>
              </w:rPr>
              <w:t>Repeated vital signs</w:t>
            </w:r>
          </w:p>
        </w:tc>
        <w:tc>
          <w:tcPr>
            <w:tcW w:type="dxa" w:w="7128"/>
            <w:vAlign w:val="top"/>
            <w:tcMar>
              <w:top w:w="80" w:type="dxa"/>
              <w:start w:w="120" w:type="dxa"/>
              <w:bottom w:w="80" w:type="dxa"/>
              <w:end w:w="120" w:type="dxa"/>
            </w:tcMar>
          </w:tcPr>
          <w:p>
            <w:pPr>
              <w:spacing w:after="40"/>
              <w:jc w:val="left"/>
            </w:pPr>
            <w:r>
              <w:rPr>
                <w:sz w:val="16"/>
              </w:rPr>
              <w:t>Churpek et al., repeated vital signs and deterioration recognition: https://pubmed.ncbi.nlm.nih.gov/30005671/</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Dynamic risk modeling</w:t>
            </w:r>
          </w:p>
        </w:tc>
        <w:tc>
          <w:tcPr>
            <w:tcW w:type="dxa" w:w="7128"/>
            <w:vAlign w:val="top"/>
            <w:tcMar>
              <w:top w:w="80" w:type="dxa"/>
              <w:start w:w="120" w:type="dxa"/>
              <w:bottom w:w="80" w:type="dxa"/>
              <w:end w:w="120" w:type="dxa"/>
            </w:tcMar>
            <w:shd w:fill="F6F5F7"/>
          </w:tcPr>
          <w:p>
            <w:pPr>
              <w:spacing w:after="40"/>
              <w:jc w:val="left"/>
            </w:pPr>
            <w:r>
              <w:rPr>
                <w:sz w:val="16"/>
              </w:rPr>
              <w:t>Time-varying deterioration modeling reference: https://pubmed.ncbi.nlm.nih.gov/41827109/</w:t>
            </w:r>
          </w:p>
        </w:tc>
      </w:tr>
      <w:tr>
        <w:trPr>
          <w:cantSplit/>
        </w:trPr>
        <w:tc>
          <w:tcPr>
            <w:tcW w:type="dxa" w:w="2520"/>
            <w:vAlign w:val="top"/>
            <w:tcMar>
              <w:top w:w="80" w:type="dxa"/>
              <w:start w:w="120" w:type="dxa"/>
              <w:bottom w:w="80" w:type="dxa"/>
              <w:end w:w="120" w:type="dxa"/>
            </w:tcMar>
          </w:tcPr>
          <w:p>
            <w:pPr>
              <w:spacing w:after="40"/>
              <w:jc w:val="left"/>
            </w:pPr>
            <w:r>
              <w:rPr>
                <w:sz w:val="16"/>
              </w:rPr>
              <w:t>Prioritisation precedent</w:t>
            </w:r>
          </w:p>
        </w:tc>
        <w:tc>
          <w:tcPr>
            <w:tcW w:type="dxa" w:w="7128"/>
            <w:vAlign w:val="top"/>
            <w:tcMar>
              <w:top w:w="80" w:type="dxa"/>
              <w:start w:w="120" w:type="dxa"/>
              <w:bottom w:w="80" w:type="dxa"/>
              <w:end w:w="120" w:type="dxa"/>
            </w:tcMar>
          </w:tcPr>
          <w:p>
            <w:pPr>
              <w:spacing w:after="40"/>
              <w:jc w:val="left"/>
            </w:pPr>
            <w:r>
              <w:rPr>
                <w:sz w:val="16"/>
              </w:rPr>
              <w:t>Prognosis-informed patient prioritisation: https://pubmed.ncbi.nlm.nih.gov/37318826/</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Deadline scheduling</w:t>
            </w:r>
          </w:p>
        </w:tc>
        <w:tc>
          <w:tcPr>
            <w:tcW w:type="dxa" w:w="7128"/>
            <w:vAlign w:val="top"/>
            <w:tcMar>
              <w:top w:w="80" w:type="dxa"/>
              <w:start w:w="120" w:type="dxa"/>
              <w:bottom w:w="80" w:type="dxa"/>
              <w:end w:w="120" w:type="dxa"/>
            </w:tcMar>
            <w:shd w:fill="F6F5F7"/>
          </w:tcPr>
          <w:p>
            <w:pPr>
              <w:spacing w:after="40"/>
              <w:jc w:val="left"/>
            </w:pPr>
            <w:r>
              <w:rPr>
                <w:sz w:val="16"/>
              </w:rPr>
              <w:t>UC Berkeley real-time scheduling notes: https://people.eecs.berkeley.edu/~kubitron/courses/cs262a-F19/lectures/lec11-Scheduling.pdf</w:t>
            </w:r>
          </w:p>
        </w:tc>
      </w:tr>
      <w:tr>
        <w:trPr>
          <w:cantSplit/>
        </w:trPr>
        <w:tc>
          <w:tcPr>
            <w:tcW w:type="dxa" w:w="2520"/>
            <w:vAlign w:val="top"/>
            <w:tcMar>
              <w:top w:w="80" w:type="dxa"/>
              <w:start w:w="120" w:type="dxa"/>
              <w:bottom w:w="80" w:type="dxa"/>
              <w:end w:w="120" w:type="dxa"/>
            </w:tcMar>
          </w:tcPr>
          <w:p>
            <w:pPr>
              <w:spacing w:after="40"/>
              <w:jc w:val="left"/>
            </w:pPr>
            <w:r>
              <w:rPr>
                <w:sz w:val="16"/>
              </w:rPr>
              <w:t>Predictive maintenance</w:t>
            </w:r>
          </w:p>
        </w:tc>
        <w:tc>
          <w:tcPr>
            <w:tcW w:type="dxa" w:w="7128"/>
            <w:vAlign w:val="top"/>
            <w:tcMar>
              <w:top w:w="80" w:type="dxa"/>
              <w:start w:w="120" w:type="dxa"/>
              <w:bottom w:w="80" w:type="dxa"/>
              <w:end w:w="120" w:type="dxa"/>
            </w:tcMar>
          </w:tcPr>
          <w:p>
            <w:pPr>
              <w:spacing w:after="40"/>
              <w:jc w:val="left"/>
            </w:pPr>
            <w:r>
              <w:rPr>
                <w:sz w:val="16"/>
              </w:rPr>
              <w:t>NASA prognostics/RUL reference: https://ntrs.nasa.gov/api/citations/20140010623/downloads/20140010623.pdf?attachment=true</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Active feature acquisition</w:t>
            </w:r>
          </w:p>
        </w:tc>
        <w:tc>
          <w:tcPr>
            <w:tcW w:type="dxa" w:w="7128"/>
            <w:vAlign w:val="top"/>
            <w:tcMar>
              <w:top w:w="80" w:type="dxa"/>
              <w:start w:w="120" w:type="dxa"/>
              <w:bottom w:w="80" w:type="dxa"/>
              <w:end w:w="120" w:type="dxa"/>
            </w:tcMar>
            <w:shd w:fill="F6F5F7"/>
          </w:tcPr>
          <w:p>
            <w:pPr>
              <w:spacing w:after="40"/>
              <w:jc w:val="left"/>
            </w:pPr>
            <w:r>
              <w:rPr>
                <w:sz w:val="16"/>
              </w:rPr>
              <w:t>IBM Research: https://research.ibm.com/projects/active-feature-acquisition</w:t>
            </w:r>
          </w:p>
        </w:tc>
      </w:tr>
      <w:tr>
        <w:trPr>
          <w:cantSplit/>
        </w:trPr>
        <w:tc>
          <w:tcPr>
            <w:tcW w:type="dxa" w:w="2520"/>
            <w:vAlign w:val="top"/>
            <w:tcMar>
              <w:top w:w="80" w:type="dxa"/>
              <w:start w:w="120" w:type="dxa"/>
              <w:bottom w:w="80" w:type="dxa"/>
              <w:end w:w="120" w:type="dxa"/>
            </w:tcMar>
          </w:tcPr>
          <w:p>
            <w:pPr>
              <w:spacing w:after="40"/>
              <w:jc w:val="left"/>
            </w:pPr>
            <w:r>
              <w:rPr>
                <w:sz w:val="16"/>
              </w:rPr>
              <w:t>Age-aware triage</w:t>
            </w:r>
          </w:p>
        </w:tc>
        <w:tc>
          <w:tcPr>
            <w:tcW w:type="dxa" w:w="7128"/>
            <w:vAlign w:val="top"/>
            <w:tcMar>
              <w:top w:w="80" w:type="dxa"/>
              <w:start w:w="120" w:type="dxa"/>
              <w:bottom w:w="80" w:type="dxa"/>
              <w:end w:w="120" w:type="dxa"/>
            </w:tcMar>
          </w:tcPr>
          <w:p>
            <w:pPr>
              <w:spacing w:after="40"/>
              <w:jc w:val="left"/>
            </w:pPr>
            <w:r>
              <w:rPr>
                <w:sz w:val="16"/>
              </w:rPr>
              <w:t>WHO triage tools: https://www.who.int/tools/triage</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Conformal decision support</w:t>
            </w:r>
          </w:p>
        </w:tc>
        <w:tc>
          <w:tcPr>
            <w:tcW w:type="dxa" w:w="7128"/>
            <w:vAlign w:val="top"/>
            <w:tcMar>
              <w:top w:w="80" w:type="dxa"/>
              <w:start w:w="120" w:type="dxa"/>
              <w:bottom w:w="80" w:type="dxa"/>
              <w:end w:w="120" w:type="dxa"/>
            </w:tcMar>
            <w:shd w:fill="F6F5F7"/>
          </w:tcPr>
          <w:p>
            <w:pPr>
              <w:spacing w:after="40"/>
              <w:jc w:val="left"/>
            </w:pPr>
            <w:r>
              <w:rPr>
                <w:sz w:val="16"/>
              </w:rPr>
              <w:t>‘I don't know’: an uncertainty-aware ED-triage model using conformal prediction (2025), PMID 40318497: https://pubmed.ncbi.nlm.nih.gov/40318497/</w:t>
            </w:r>
          </w:p>
        </w:tc>
      </w:tr>
      <w:tr>
        <w:trPr>
          <w:cantSplit/>
        </w:trPr>
        <w:tc>
          <w:tcPr>
            <w:tcW w:type="dxa" w:w="2520"/>
            <w:vAlign w:val="top"/>
            <w:tcMar>
              <w:top w:w="80" w:type="dxa"/>
              <w:start w:w="120" w:type="dxa"/>
              <w:bottom w:w="80" w:type="dxa"/>
              <w:end w:w="120" w:type="dxa"/>
            </w:tcMar>
          </w:tcPr>
          <w:p>
            <w:pPr>
              <w:spacing w:after="40"/>
              <w:jc w:val="left"/>
            </w:pPr>
            <w:r>
              <w:rPr>
                <w:sz w:val="16"/>
              </w:rPr>
              <w:t>India governance</w:t>
            </w:r>
          </w:p>
        </w:tc>
        <w:tc>
          <w:tcPr>
            <w:tcW w:type="dxa" w:w="7128"/>
            <w:vAlign w:val="top"/>
            <w:tcMar>
              <w:top w:w="80" w:type="dxa"/>
              <w:start w:w="120" w:type="dxa"/>
              <w:bottom w:w="80" w:type="dxa"/>
              <w:end w:w="120" w:type="dxa"/>
            </w:tcMar>
          </w:tcPr>
          <w:p>
            <w:pPr>
              <w:spacing w:after="40"/>
              <w:jc w:val="left"/>
            </w:pPr>
            <w:r>
              <w:rPr>
                <w:sz w:val="16"/>
              </w:rPr>
              <w:t>DPDP Act 2023: https://www.indiacode.nic.in/handle/123456789/22037?col=123456789%2F1362&amp;view_type=search</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India governance</w:t>
            </w:r>
          </w:p>
        </w:tc>
        <w:tc>
          <w:tcPr>
            <w:tcW w:type="dxa" w:w="7128"/>
            <w:vAlign w:val="top"/>
            <w:tcMar>
              <w:top w:w="80" w:type="dxa"/>
              <w:start w:w="120" w:type="dxa"/>
              <w:bottom w:w="80" w:type="dxa"/>
              <w:end w:w="120" w:type="dxa"/>
            </w:tcMar>
            <w:shd w:fill="F6F5F7"/>
          </w:tcPr>
          <w:p>
            <w:pPr>
              <w:spacing w:after="40"/>
              <w:jc w:val="left"/>
            </w:pPr>
            <w:r>
              <w:rPr>
                <w:sz w:val="16"/>
              </w:rPr>
              <w:t>DPDP Rules 2025: https://www.meity.gov.in/documents/act-and-policies/digital-personal-data-protection-rules-2025-gDOxUjMtQWa?pageTitle=Digital-Personal-Data-Protection-Rules-2025.pdf</w:t>
            </w:r>
          </w:p>
        </w:tc>
      </w:tr>
      <w:tr>
        <w:trPr>
          <w:cantSplit/>
        </w:trPr>
        <w:tc>
          <w:tcPr>
            <w:tcW w:type="dxa" w:w="2520"/>
            <w:vAlign w:val="top"/>
            <w:tcMar>
              <w:top w:w="80" w:type="dxa"/>
              <w:start w:w="120" w:type="dxa"/>
              <w:bottom w:w="80" w:type="dxa"/>
              <w:end w:w="120" w:type="dxa"/>
            </w:tcMar>
          </w:tcPr>
          <w:p>
            <w:pPr>
              <w:spacing w:after="40"/>
              <w:jc w:val="left"/>
            </w:pPr>
            <w:r>
              <w:rPr>
                <w:sz w:val="16"/>
              </w:rPr>
              <w:t>Health-data policy</w:t>
            </w:r>
          </w:p>
        </w:tc>
        <w:tc>
          <w:tcPr>
            <w:tcW w:type="dxa" w:w="7128"/>
            <w:vAlign w:val="top"/>
            <w:tcMar>
              <w:top w:w="80" w:type="dxa"/>
              <w:start w:w="120" w:type="dxa"/>
              <w:bottom w:w="80" w:type="dxa"/>
              <w:end w:w="120" w:type="dxa"/>
            </w:tcMar>
          </w:tcPr>
          <w:p>
            <w:pPr>
              <w:spacing w:after="40"/>
              <w:jc w:val="left"/>
            </w:pPr>
            <w:r>
              <w:rPr>
                <w:sz w:val="16"/>
              </w:rPr>
              <w:t>ABDM Health Data Management Policy: https://abdm.gov.in/static/media/health_management_policy_bac9429a79.80f74bc3e039c00acd4f.pdf</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EHR standards</w:t>
            </w:r>
          </w:p>
        </w:tc>
        <w:tc>
          <w:tcPr>
            <w:tcW w:type="dxa" w:w="7128"/>
            <w:vAlign w:val="top"/>
            <w:tcMar>
              <w:top w:w="80" w:type="dxa"/>
              <w:start w:w="120" w:type="dxa"/>
              <w:bottom w:w="80" w:type="dxa"/>
              <w:end w:w="120" w:type="dxa"/>
            </w:tcMar>
            <w:shd w:fill="F6F5F7"/>
          </w:tcPr>
          <w:p>
            <w:pPr>
              <w:spacing w:after="40"/>
              <w:jc w:val="left"/>
            </w:pPr>
            <w:r>
              <w:rPr>
                <w:sz w:val="16"/>
              </w:rPr>
              <w:t>MoHFW EHR Standards for India (2016): https://www.mohfw.gov.in/sites/default/files/EMR-EHR_Standards_for_India_as_notified_by_MOHFW_2016_0.pdf</w:t>
            </w:r>
          </w:p>
        </w:tc>
      </w:tr>
      <w:tr>
        <w:trPr>
          <w:cantSplit/>
        </w:trPr>
        <w:tc>
          <w:tcPr>
            <w:tcW w:type="dxa" w:w="2520"/>
            <w:vAlign w:val="top"/>
            <w:tcMar>
              <w:top w:w="80" w:type="dxa"/>
              <w:start w:w="120" w:type="dxa"/>
              <w:bottom w:w="80" w:type="dxa"/>
              <w:end w:w="120" w:type="dxa"/>
            </w:tcMar>
          </w:tcPr>
          <w:p>
            <w:pPr>
              <w:spacing w:after="40"/>
              <w:jc w:val="left"/>
            </w:pPr>
            <w:r>
              <w:rPr>
                <w:sz w:val="16"/>
              </w:rPr>
              <w:t>External plausibility</w:t>
            </w:r>
          </w:p>
        </w:tc>
        <w:tc>
          <w:tcPr>
            <w:tcW w:type="dxa" w:w="7128"/>
            <w:vAlign w:val="top"/>
            <w:tcMar>
              <w:top w:w="80" w:type="dxa"/>
              <w:start w:w="120" w:type="dxa"/>
              <w:bottom w:w="80" w:type="dxa"/>
              <w:end w:w="120" w:type="dxa"/>
            </w:tcMar>
          </w:tcPr>
          <w:p>
            <w:pPr>
              <w:spacing w:after="40"/>
              <w:jc w:val="left"/>
            </w:pPr>
            <w:r>
              <w:rPr>
                <w:sz w:val="16"/>
              </w:rPr>
              <w:t>PhysioNet MIMIC-IV demo 2.2: https://physionet.org/content/mimic-iv-demo/2.2/</w:t>
            </w:r>
          </w:p>
        </w:tc>
      </w:tr>
      <w:tr>
        <w:trPr>
          <w:cantSplit/>
        </w:trPr>
        <w:tc>
          <w:tcPr>
            <w:tcW w:type="dxa" w:w="2520"/>
            <w:vAlign w:val="top"/>
            <w:tcMar>
              <w:top w:w="80" w:type="dxa"/>
              <w:start w:w="120" w:type="dxa"/>
              <w:bottom w:w="80" w:type="dxa"/>
              <w:end w:w="120" w:type="dxa"/>
            </w:tcMar>
            <w:shd w:fill="F6F5F7"/>
          </w:tcPr>
          <w:p>
            <w:pPr>
              <w:spacing w:after="40"/>
              <w:jc w:val="left"/>
            </w:pPr>
            <w:r>
              <w:rPr>
                <w:sz w:val="16"/>
              </w:rPr>
              <w:t>Local verification evidence</w:t>
            </w:r>
          </w:p>
        </w:tc>
        <w:tc>
          <w:tcPr>
            <w:tcW w:type="dxa" w:w="7128"/>
            <w:vAlign w:val="top"/>
            <w:tcMar>
              <w:top w:w="80" w:type="dxa"/>
              <w:start w:w="120" w:type="dxa"/>
              <w:bottom w:w="80" w:type="dxa"/>
              <w:end w:w="120" w:type="dxa"/>
            </w:tcMar>
            <w:shd w:fill="F6F5F7"/>
          </w:tcPr>
          <w:p>
            <w:pPr>
              <w:spacing w:after="40"/>
              <w:jc w:val="left"/>
            </w:pPr>
            <w:r>
              <w:rPr>
                <w:sz w:val="16"/>
              </w:rPr>
              <w:t>docs/tl-05-verification-report.md, artifacts/tl-05-periodic-retriage.json, artifacts/tl-05-nbo-evaluation.json, test suite and working product.</w:t>
            </w:r>
          </w:p>
        </w:tc>
      </w:tr>
    </w:tbl>
    <w:p>
      <w:pPr>
        <w:spacing w:after="20"/>
      </w:pPr>
    </w:p>
    <w:p>
      <w:pPr>
        <w:keepLines/>
      </w:pPr>
      <w:r>
        <w:t>All numerical performance claims in this proposal refer to registered synthetic experiments unless explicitly labeled otherwise. Accessed 22 August 2026.</w:t>
      </w:r>
    </w:p>
    <w:sectPr w:rsidR="00FC693F" w:rsidRPr="0006063C" w:rsidSect="00034616">
      <w:headerReference w:type="default" r:id="rId9"/>
      <w:footerReference w:type="default" r:id="rId10"/>
      <w:pgSz w:w="12240" w:h="15840"/>
      <w:pgMar w:top="1123" w:right="1181" w:bottom="1037"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5B67"/>
        <w:sz w:val="15"/>
      </w:rPr>
      <w:t xml:space="preserve">Synthetic decision-support prototype — not validated for clinical use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7A1F5C"/>
        <w:sz w:val="16"/>
      </w:rPr>
      <w:t>TRIAGELOOP  /  ROUND 2 BUSINESS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jc w:val="both"/>
    </w:pPr>
    <w:rPr>
      <w:rFonts w:ascii="Calibri" w:hAnsi="Calibri"/>
      <w:color w:val="211C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52163E"/>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7A1F5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11C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52163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Calibri" w:hAnsi="Calibri"/>
      <w:b w:val="0"/>
      <w:i/>
      <w:iCs/>
      <w:color w:val="625B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00"/>
    </w:pPr>
    <w:rPr>
      <w:rFonts w:ascii="Calibri" w:hAnsi="Calibri"/>
      <w:color w:val="625B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