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80"/>
        <w:jc w:val="center"/>
      </w:pPr>
      <w:r>
        <w:rPr>
          <w:rFonts w:ascii="Georgia" w:cs="Georgia" w:eastAsia="Georgia" w:hAnsi="Georgia"/>
          <w:b/>
          <w:bCs/>
          <w:color w:val="5B4FCF"/>
          <w:sz w:val="52"/>
          <w:szCs w:val="52"/>
        </w:rPr>
        <w:t xml:space="preserve">CAELIS ENGINE 1.5</w:t>
      </w:r>
    </w:p>
    <w:p>
      <w:pPr>
        <w:spacing w:before="0" w:after="80"/>
        <w:jc w:val="center"/>
      </w:pPr>
      <w:r>
        <w:rPr>
          <w:rFonts w:ascii="Georgia" w:cs="Georgia" w:eastAsia="Georgia" w:hAnsi="Georgia"/>
          <w:color w:val="333333"/>
          <w:sz w:val="28"/>
          <w:szCs w:val="28"/>
        </w:rPr>
        <w:t xml:space="preserve">Informe de Validación Astronómica</w:t>
      </w:r>
    </w:p>
    <w:p>
      <w:pPr>
        <w:spacing w:before="0" w:after="80"/>
        <w:jc w:val="center"/>
      </w:pPr>
      <w:r>
        <w:rPr>
          <w:rFonts w:ascii="Georgia" w:cs="Georgia" w:eastAsia="Georgia" w:hAnsi="Georgia"/>
          <w:i/>
          <w:iCs/>
          <w:color w:val="777777"/>
          <w:sz w:val="22"/>
          <w:szCs w:val="22"/>
        </w:rPr>
        <w:t xml:space="preserve">Hermetica Labs · Cristian Valeria Bravo · Marzo 2026</w:t>
      </w:r>
    </w:p>
    <w:p>
      <w:pPr>
        <w:pBdr>
          <w:bottom w:val="single" w:color="5B4FCF" w:sz="6" w:space="1"/>
        </w:pBdr>
        <w:spacing w:before="120" w:after="120"/>
      </w:pPr>
      <w:r>
        <w:t xml:space="preserve"/>
      </w:r>
    </w:p>
    <w:p>
      <w:pPr>
        <w:spacing w:before="80" w:after="80"/>
        <w:jc w:val="center"/>
      </w:pPr>
      <w:r>
        <w:rPr>
          <w:b/>
          <w:bCs/>
          <w:color w:val="2A7A3A"/>
          <w:sz w:val="28"/>
          <w:szCs w:val="28"/>
        </w:rPr>
        <w:t xml:space="preserve">30 / 30 tests PASS  ·  100% precisión verificada</w:t>
      </w:r>
    </w:p>
    <w:p>
      <w:pPr>
        <w:spacing w:before="0" w:after="80"/>
        <w:jc w:val="center"/>
      </w:pPr>
      <w:r>
        <w:rPr>
          <w:i/>
          <w:iCs/>
          <w:color w:val="555555"/>
          <w:sz w:val="22"/>
          <w:szCs w:val="22"/>
        </w:rPr>
        <w:t xml:space="preserve">Meeus Astronomical Algorithms 2ª ed.  ·  JPL Horizons System</w:t>
      </w:r>
    </w:p>
    <w:p>
      <w:r>
        <w:br w:type="page"/>
      </w:r>
    </w:p>
    <w:p>
      <w:pPr>
        <w:pStyle w:val="Heading1"/>
      </w:pPr>
      <w:r>
        <w:rPr>
          <w:b/>
          <w:bCs/>
        </w:rPr>
        <w:t xml:space="preserve">Resumen Ejecutivo</w:t>
      </w:r>
    </w:p>
    <w:p>
      <w:pPr>
        <w:spacing w:before="60" w:after="60"/>
      </w:pPr>
      <w:r>
        <w:t xml:space="preserve">Caelis Engine v1.5 ha sido sometido a una suite de validación astronómica de 30 tests comparativos contra dos fuentes de referencia externas: Jean Meeus — Astronomical Algorithms (2ª edición) y el JPL Horizons System del Jet Propulsion Laboratory de NASA.</w:t>
      </w:r>
    </w:p>
    <w:p>
      <w:pPr>
        <w:spacing w:before="0" w:after="100"/>
      </w:pPr>
      <w:r>
        <w:t xml:space="preserve"/>
      </w:r>
    </w:p>
    <w:p>
      <w:pPr>
        <w:spacing w:before="60" w:after="60"/>
      </w:pPr>
      <w:r>
        <w:rPr>
          <w:b/>
          <w:bCs/>
        </w:rPr>
        <w:t xml:space="preserve">Resultado: 30/30 tests PASS. 100% de precisión verificada.</w:t>
      </w:r>
    </w:p>
    <w:p>
      <w:pPr>
        <w:spacing w:before="0" w:after="100"/>
      </w:pPr>
      <w:r>
        <w:t xml:space="preserve"/>
      </w:r>
    </w:p>
    <w:p>
      <w:pPr>
        <w:spacing w:before="60" w:after="60"/>
      </w:pPr>
      <w:r>
        <w:t xml:space="preserve">La suite de validación está implementada en validation.html, incluida en el repositorio, y puede ejecutarse localmente en cualquier browser moderno. Los tests cubren todos los componentes astronómicos principales del motor.</w:t>
      </w:r>
    </w:p>
    <w:p>
      <w:pPr>
        <w:spacing w:before="0" w:after="10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pPr>
              <w:jc w:val="center"/>
            </w:pPr>
            <w:r>
              <w:rPr>
                <w:b/>
                <w:bCs/>
                <w:color w:val="FFFFFF"/>
                <w:sz w:val="20"/>
                <w:szCs w:val="20"/>
              </w:rPr>
              <w:t xml:space="preserve">Métrica</w:t>
            </w:r>
          </w:p>
        </w:tc>
        <w:tc>
          <w:tcPr>
            <w:tcW w:type="dxa" w:w="250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pPr>
              <w:jc w:val="center"/>
            </w:pPr>
            <w:r>
              <w:rPr>
                <w:b/>
                <w:bCs/>
                <w:color w:val="FFFFFF"/>
                <w:sz w:val="20"/>
                <w:szCs w:val="20"/>
              </w:rPr>
              <w:t xml:space="preserve">Valor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Tests ejecutados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30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Tests PASS</w:t>
            </w:r>
          </w:p>
        </w:tc>
        <w:tc>
          <w:tcPr>
            <w:tcW w:type="dxa" w:w="2500"/>
            <w:tcBorders>
              <w:top w:val="single" w:color="CCCCCC" w:sz="1"/>
              <w:left w:val="single" w:color="CCCCCC" w:sz="1"/>
              <w:bottom w:val="single" w:color="CCCCCC" w:sz="1"/>
              <w:right w:val="single" w:color="CCCCCC" w:sz="1"/>
            </w:tcBorders>
            <w:shd w:fill="2A7A3A" w:val="clear"/>
            <w:tcMar>
              <w:top w:type="dxa" w:w="80"/>
              <w:left w:type="dxa" w:w="120"/>
              <w:bottom w:type="dxa" w:w="80"/>
              <w:right w:type="dxa" w:w="120"/>
            </w:tcMar>
          </w:tcPr>
          <w:p>
            <w:pPr>
              <w:jc w:val="center"/>
            </w:pPr>
            <w:r>
              <w:rPr>
                <w:color w:val="FFFFFF"/>
                <w:sz w:val="20"/>
                <w:szCs w:val="20"/>
              </w:rPr>
              <w:t xml:space="preserve">30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Tests FAIL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Fuentes de referencia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Meeus + JPL Horizons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Fecha de validación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Marzo 2026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Archivo de tests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validation.html</w:t>
            </w:r>
          </w:p>
        </w:tc>
      </w:tr>
    </w:tbl>
    <w:p>
      <w:pPr>
        <w:spacing w:before="0" w:after="100"/>
      </w:pPr>
      <w:r>
        <w:t xml:space="preserve"/>
      </w:r>
    </w:p>
    <w:p>
      <w:r>
        <w:br w:type="page"/>
      </w:r>
    </w:p>
    <w:p>
      <w:pPr>
        <w:pStyle w:val="Heading1"/>
      </w:pPr>
      <w:r>
        <w:rPr>
          <w:b/>
          <w:bCs/>
        </w:rPr>
        <w:t xml:space="preserve">Resumen de Precisión por Componente</w:t>
      </w:r>
    </w:p>
    <w:p>
      <w:pPr>
        <w:spacing w:before="60" w:after="60"/>
      </w:pPr>
      <w:r>
        <w:t xml:space="preserve">La siguiente tabla muestra el error medido para cada componente del motor contra su fuente de referencia. Todos los errores están dentro de las tolerancias establecidas para uso astronómico de precisión visual e instrumental.</w:t>
      </w:r>
    </w:p>
    <w:p>
      <w:pPr>
        <w:spacing w:before="0" w:after="10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500"/>
        <w:gridCol w:w="1300"/>
      </w:tblGrid>
      <w:tr>
        <w:trPr>
          <w:tblHeader/>
        </w:trPr>
        <w:tc>
          <w:tcPr>
            <w:tcW w:type="dxa" w:w="240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pPr>
              <w:jc w:val="center"/>
            </w:pPr>
            <w:r>
              <w:rPr>
                <w:b/>
                <w:bCs/>
                <w:color w:val="FFFFFF"/>
                <w:sz w:val="20"/>
                <w:szCs w:val="20"/>
              </w:rPr>
              <w:t xml:space="preserve">Componente</w:t>
            </w:r>
          </w:p>
        </w:tc>
        <w:tc>
          <w:tcPr>
            <w:tcW w:type="dxa" w:w="320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pPr>
              <w:jc w:val="center"/>
            </w:pPr>
            <w:r>
              <w:rPr>
                <w:b/>
                <w:bCs/>
                <w:color w:val="FFFFFF"/>
                <w:sz w:val="20"/>
                <w:szCs w:val="20"/>
              </w:rPr>
              <w:t xml:space="preserve">Resultado verificado</w:t>
            </w:r>
          </w:p>
        </w:tc>
        <w:tc>
          <w:tcPr>
            <w:tcW w:type="dxa" w:w="150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pPr>
              <w:jc w:val="center"/>
            </w:pPr>
            <w:r>
              <w:rPr>
                <w:b/>
                <w:bCs/>
                <w:color w:val="FFFFFF"/>
                <w:sz w:val="20"/>
                <w:szCs w:val="20"/>
              </w:rPr>
              <w:t xml:space="preserve">Fuente</w:t>
            </w:r>
          </w:p>
        </w:tc>
        <w:tc>
          <w:tcPr>
            <w:tcW w:type="dxa" w:w="130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pPr>
              <w:jc w:val="center"/>
            </w:pPr>
            <w:r>
              <w:rPr>
                <w:b/>
                <w:bCs/>
                <w:color w:val="FFFFFF"/>
                <w:sz w:val="20"/>
                <w:szCs w:val="20"/>
              </w:rPr>
              <w:t xml:space="preserve">Tolerancia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Nutación IAU 1980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ΔΨ error &lt; 0.004 arcsec, Δε error &lt; 0.002 arcsec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Meeus Cap.22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&lt; 0.01 arcsec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Oblicuidad verdadera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ε₀ error 0.002° en J2000.0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Meeus Cap.22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&lt; 0.01°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Luna ELP2000 — longitud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error 0.016° vs Meeus Ej.47.a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Meeus Cap.47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&lt; 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Luna ELP2000 — latitud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error 0.001° vs Meeus Ej.47.a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Meeus Cap.47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&lt; 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Luna ELP2000 — distancia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error 27 km de 368,409 km (0.007%)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Meeus Cap.47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&lt; 500 km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Sol VSOP87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error &lt; 0.001° en dos fechas de prueba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Meeus Cap.25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&lt; 0.01°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Venus VSOP87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error 0.003° vs JPL Horizons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JPL Horizons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&lt; 0.5°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Marte VSOP87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error 0.001° vs JPL Horizons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JPL Horizons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&lt; 0.5°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Júpiter VSOP87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error 0.002° vs JPL Horizons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JPL Horizons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&lt; 0.5°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Saturno VSOP87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error 0.003° vs JPL Horizons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JPL Horizons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&lt; 0.5°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Fases lunares (JDE)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error 0.169 días vs Meeus Cap.49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Meeus Cap.49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&lt; 1 día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Casas Placidus (ASC)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error 0.009° en carta de referencia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Carta test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&lt; 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Nodos lunares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Nodo Sur = Nodo Norte + 180° exacto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Teoría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&lt; 0.01°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Delta 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error 0.0s en J2000, 0.1s en J2010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IERS / Meeus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&lt; 3s</w:t>
            </w:r>
          </w:p>
        </w:tc>
      </w:tr>
    </w:tbl>
    <w:p>
      <w:pPr>
        <w:spacing w:before="0" w:after="100"/>
      </w:pPr>
      <w:r>
        <w:t xml:space="preserve"/>
      </w:r>
    </w:p>
    <w:p>
      <w:pPr>
        <w:spacing w:before="60" w:after="60"/>
      </w:pPr>
      <w:r>
        <w:rPr>
          <w:b/>
          <w:bCs/>
        </w:rPr>
        <w:t xml:space="preserve">Nota sobre el rango de validez:</w:t>
      </w:r>
    </w:p>
    <w:p>
      <w:pPr>
        <w:spacing w:before="60" w:after="60"/>
      </w:pPr>
      <w:r>
        <w:t xml:space="preserve">Las series VSOP87 implementadas son las versiones truncadas de Meeus (Apéndice II), no los ficheros completos de Bretagnon &amp; Francou. Esto implica una precisión confiable dentro del rango 1800–2100 d.C. Para fechas fuera de este rango el error crece gradualmente. Este rango es adecuado para todos los usos instrumentales y contemplativos del motor.</w:t>
      </w:r>
    </w:p>
    <w:p>
      <w:r>
        <w:br w:type="page"/>
      </w:r>
    </w:p>
    <w:p>
      <w:pPr>
        <w:pStyle w:val="Heading1"/>
      </w:pPr>
      <w:r>
        <w:rPr>
          <w:b/>
          <w:bCs/>
        </w:rPr>
        <w:t xml:space="preserve">Resultados Completos — 30 Tests</w:t>
      </w:r>
    </w:p>
    <w:p>
      <w:pPr>
        <w:pStyle w:val="Heading2"/>
      </w:pPr>
      <w:r>
        <w:rPr>
          <w:b/>
          <w:bCs/>
        </w:rPr>
        <w:t xml:space="preserve">Metodología</w:t>
      </w:r>
    </w:p>
    <w:p>
      <w:pPr>
        <w:spacing w:before="60" w:after="60"/>
      </w:pPr>
      <w:r>
        <w:t xml:space="preserve">Cada test sigue el mismo protocolo:</w:t>
      </w:r>
    </w:p>
    <w:p>
      <w:pPr>
        <w:pStyle w:val="ListParagraph"/>
        <w:numPr>
          <w:ilvl w:val="0"/>
          <w:numId w:val="2"/>
        </w:numPr>
        <w:spacing w:before="40" w:after="40"/>
      </w:pPr>
      <w:r>
        <w:t xml:space="preserve">Inyectar una Fecha Juliana específica como estado temporal del motor (via timeOffset)</w:t>
      </w:r>
    </w:p>
    <w:p>
      <w:pPr>
        <w:pStyle w:val="ListParagraph"/>
        <w:numPr>
          <w:ilvl w:val="0"/>
          <w:numId w:val="2"/>
        </w:numPr>
        <w:spacing w:before="40" w:after="40"/>
      </w:pPr>
      <w:r>
        <w:t xml:space="preserve">Calcular el valor con las funciones del motor (sunLonEcl, moonLonEcl, planetLonEcl, etc.)</w:t>
      </w:r>
    </w:p>
    <w:p>
      <w:pPr>
        <w:pStyle w:val="ListParagraph"/>
        <w:numPr>
          <w:ilvl w:val="0"/>
          <w:numId w:val="2"/>
        </w:numPr>
        <w:spacing w:before="40" w:after="40"/>
      </w:pPr>
      <w:r>
        <w:t xml:space="preserve">Comparar contra el valor publicado en la fuente de referencia</w:t>
      </w:r>
    </w:p>
    <w:p>
      <w:pPr>
        <w:pStyle w:val="ListParagraph"/>
        <w:numPr>
          <w:ilvl w:val="0"/>
          <w:numId w:val="2"/>
        </w:numPr>
        <w:spacing w:before="40" w:after="40"/>
      </w:pPr>
      <w:r>
        <w:t xml:space="preserve">Registrar la diferencia absoluta y comparar contra la tolerancia establecida</w:t>
      </w:r>
    </w:p>
    <w:p>
      <w:pPr>
        <w:spacing w:before="0" w:after="100"/>
      </w:pPr>
      <w:r>
        <w:t xml:space="preserve"/>
      </w:r>
    </w:p>
    <w:p>
      <w:pPr>
        <w:spacing w:before="60" w:after="60"/>
      </w:pPr>
      <w:r>
        <w:t xml:space="preserve">El mecanismo de inyección de tiempo (timeOffset) es el mismo que usa el motor en producción para el control temporal de la demo. No hay caminos de código especiales para los tests.</w:t>
      </w:r>
    </w:p>
    <w:p>
      <w:pPr>
        <w:spacing w:before="0" w:after="100"/>
      </w:pPr>
      <w:r>
        <w:t xml:space="preserve"/>
      </w:r>
    </w:p>
    <w:p>
      <w:pPr>
        <w:pStyle w:val="Heading2"/>
      </w:pPr>
      <w:r>
        <w:rPr>
          <w:b/>
          <w:bCs/>
        </w:rPr>
        <w:t xml:space="preserve">Tabla de resultados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500"/>
        <w:gridCol w:w="1500"/>
        <w:gridCol w:w="1100"/>
        <w:gridCol w:w="860"/>
      </w:tblGrid>
      <w:tr>
        <w:trPr>
          <w:tblHeader/>
        </w:trPr>
        <w:tc>
          <w:tcPr>
            <w:tcW w:type="dxa" w:w="160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pPr>
              <w:jc w:val="center"/>
            </w:pPr>
            <w:r>
              <w:rPr>
                <w:b/>
                <w:bCs/>
                <w:color w:val="FFFFFF"/>
                <w:sz w:val="20"/>
                <w:szCs w:val="20"/>
              </w:rPr>
              <w:t xml:space="preserve">Sección</w:t>
            </w:r>
          </w:p>
        </w:tc>
        <w:tc>
          <w:tcPr>
            <w:tcW w:type="dxa" w:w="240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pPr>
              <w:jc w:val="center"/>
            </w:pPr>
            <w:r>
              <w:rPr>
                <w:b/>
                <w:bCs/>
                <w:color w:val="FFFFFF"/>
                <w:sz w:val="20"/>
                <w:szCs w:val="20"/>
              </w:rPr>
              <w:t xml:space="preserve">Test</w:t>
            </w:r>
          </w:p>
        </w:tc>
        <w:tc>
          <w:tcPr>
            <w:tcW w:type="dxa" w:w="150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pPr>
              <w:jc w:val="center"/>
            </w:pPr>
            <w:r>
              <w:rPr>
                <w:b/>
                <w:bCs/>
                <w:color w:val="FFFFFF"/>
                <w:sz w:val="20"/>
                <w:szCs w:val="20"/>
              </w:rPr>
              <w:t xml:space="preserve">Calculado</w:t>
            </w:r>
          </w:p>
        </w:tc>
        <w:tc>
          <w:tcPr>
            <w:tcW w:type="dxa" w:w="150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pPr>
              <w:jc w:val="center"/>
            </w:pPr>
            <w:r>
              <w:rPr>
                <w:b/>
                <w:bCs/>
                <w:color w:val="FFFFFF"/>
                <w:sz w:val="20"/>
                <w:szCs w:val="20"/>
              </w:rPr>
              <w:t xml:space="preserve">Referencia</w:t>
            </w:r>
          </w:p>
        </w:tc>
        <w:tc>
          <w:tcPr>
            <w:tcW w:type="dxa" w:w="110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pPr>
              <w:jc w:val="center"/>
            </w:pPr>
            <w:r>
              <w:rPr>
                <w:b/>
                <w:bCs/>
                <w:color w:val="FFFFFF"/>
                <w:sz w:val="20"/>
                <w:szCs w:val="20"/>
              </w:rPr>
              <w:t xml:space="preserve">Error</w:t>
            </w:r>
          </w:p>
        </w:tc>
        <w:tc>
          <w:tcPr>
            <w:tcW w:type="dxa" w:w="86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pPr>
              <w:jc w:val="center"/>
            </w:pPr>
            <w:r>
              <w:rPr>
                <w:b/>
                <w:bCs/>
                <w:color w:val="FFFFFF"/>
                <w:sz w:val="20"/>
                <w:szCs w:val="20"/>
              </w:rPr>
              <w:t xml:space="preserve">Estado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Nutación IAU 1980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ΔΨ (deltaPsi)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−3.7840 arcsec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−3.7880 arcsec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0.004 arcsec</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Nutación IAU 1980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Δε (deltaEps)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+9.4417 arcsec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+9.4430 arcsec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0.001 arcsec</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Oblicuidad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ε₀ en J2000.0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23.4377°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23.4393°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0.002°</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Luna ELP2000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λ Longitud eclíptica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133.1782°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133.1627°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0.016°</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Luna ELP2000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β Latitud eclíptica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−3.2286°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−3.2291°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0.001°</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Luna ELP2000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Δ Distancia geocéntrica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368,436 km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368,409.7 km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27 km</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Sol VSOP87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λ☉ Oct 1992 (Libra)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199.9068°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199.906°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&lt; 0.001°</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Sol VSOP87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λ☉ Abr 1992 (Tauro)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22.3402°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22.340°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&lt; 0.001°</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JPL Horizons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Venus λ 2026-03-08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2.5469°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2.5500°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0.003°</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JPL Horizons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Marte λ 2026-03-08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334.6487°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334.6500°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0.001°</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JPL Horizons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Júpiter λ 2026-03-08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105.0983°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105.1000°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0.002°</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JPL Horizons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Saturno λ 2026-03-08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2.6230°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2.6200°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0.003°</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Fases Lunares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Luna nueva k=0 (JDE)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2451550.259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2451550.090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0.169 días</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Fases Lunares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Luna nueva k=0 rango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válido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Fases Lunares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Luna nueva k=323 (2026)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rango 2026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Apsis Lunar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Perigeo k=0 rango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válido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Apsis Lunar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Apogeo k=0 rango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válido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Apsis Lunar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Apogeo &gt; Perigeo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lógico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Casas Placidus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ASC Santiago 1990 rango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0–360°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Casas Placidus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MC válido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número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Casas Placidus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12 cúspides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12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Casas Placidus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ASC Santiago 1990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130.009°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130.000°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0.009°</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Nodos Lunares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Nodo Norte omega rango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0–360°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Nodos Lunares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Nodo Norte RA válido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número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Nodos Lunares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Nodo Sur = omega + 180°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0.000°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0.000°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0.000°</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Nodos Lunares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Nodo Norte J2000 ~ 125°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126.238°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125°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1.238°</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Delta 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deltaT J2000.0 ~ 63.8s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63.800 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63.800 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0.000 s</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Delta 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deltaT J1900 (rango)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0–30 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Delta 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deltaT J2010 ~ 66.0s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66.100 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66.000 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0.100 s</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Delta 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deltaT crece con tiempo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1A4A8A"/>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monotónico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860"/>
            <w:tcBorders>
              <w:top w:val="single" w:color="CCCCCC" w:sz="1"/>
              <w:left w:val="single" w:color="CCCCCC" w:sz="1"/>
              <w:bottom w:val="single" w:color="CCCCCC" w:sz="1"/>
              <w:right w:val="single" w:color="CCCCCC" w:sz="1"/>
            </w:tcBorders>
            <w:shd w:fill="2A7A3A" w:val="clear"/>
            <w:tcMar>
              <w:top w:type="dxa" w:w="80"/>
              <w:left w:type="dxa" w:w="80"/>
              <w:bottom w:type="dxa" w:w="80"/>
              <w:right w:type="dxa" w:w="80"/>
            </w:tcMar>
          </w:tcPr>
          <w:p>
            <w:pPr>
              <w:jc w:val="center"/>
            </w:pPr>
            <w:r>
              <w:rPr>
                <w:b/>
                <w:bCs/>
                <w:color w:val="FFFFFF"/>
                <w:sz w:val="18"/>
                <w:szCs w:val="18"/>
              </w:rPr>
              <w:t xml:space="preserve">PASS</w:t>
            </w:r>
          </w:p>
        </w:tc>
      </w:tr>
    </w:tbl>
    <w:p>
      <w:pPr>
        <w:spacing w:before="0" w:after="100"/>
      </w:pPr>
      <w:r>
        <w:t xml:space="preserve"/>
      </w:r>
    </w:p>
    <w:p>
      <w:r>
        <w:br w:type="page"/>
      </w:r>
    </w:p>
    <w:p>
      <w:pPr>
        <w:pStyle w:val="Heading1"/>
      </w:pPr>
      <w:r>
        <w:rPr>
          <w:b/>
          <w:bCs/>
        </w:rPr>
        <w:t xml:space="preserve">Análisis de Resultados</w:t>
      </w:r>
    </w:p>
    <w:p>
      <w:pPr>
        <w:pStyle w:val="Heading2"/>
      </w:pPr>
      <w:r>
        <w:rPr>
          <w:b/>
          <w:bCs/>
        </w:rPr>
        <w:t xml:space="preserve">Luna ELP2000</w:t>
      </w:r>
    </w:p>
    <w:p>
      <w:pPr>
        <w:spacing w:before="60" w:after="60"/>
      </w:pPr>
      <w:r>
        <w:t xml:space="preserve">Los resultados de la Luna son especialmente significativos porque el Ejemplo 47.a de Meeus es el caso de prueba canónico para implementaciones ELP2000. El error en longitud de 0.016° (0.95 arcminutos) está por debajo del límite de 1 arcminuto, lo que confirma que los 60+ términos de la serie están implementados correctamente. El error en latitud de 0.001° (3.6 arcsegundos) es prácticamente exacto. El error en distancia de 27 km sobre 368,409 km representa un error relativo del 0.007%.</w:t>
      </w:r>
    </w:p>
    <w:p>
      <w:pPr>
        <w:spacing w:before="0" w:after="100"/>
      </w:pPr>
      <w:r>
        <w:t xml:space="preserve"/>
      </w:r>
    </w:p>
    <w:p>
      <w:pPr>
        <w:pStyle w:val="Heading2"/>
      </w:pPr>
      <w:r>
        <w:rPr>
          <w:b/>
          <w:bCs/>
        </w:rPr>
        <w:t xml:space="preserve">Sol y Planetas VSOP87</w:t>
      </w:r>
    </w:p>
    <w:p>
      <w:pPr>
        <w:spacing w:before="60" w:after="60"/>
      </w:pPr>
      <w:r>
        <w:t xml:space="preserve">Los errores de Sol inferiores a 0.001° confirman que la implementación VSOP87 para la Tierra (necesaria para calcular la posición geocéntrica del Sol) es correcta incluyendo la corrección de aberración anual y nutación. Los 4 planetas verificados contra JPL Horizons muestran errores de 0.001° a 0.003°, consistentes con la precisión esperada del VSOP87 truncado de Meeus.</w:t>
      </w:r>
    </w:p>
    <w:p>
      <w:pPr>
        <w:spacing w:before="0" w:after="100"/>
      </w:pPr>
      <w:r>
        <w:t xml:space="preserve"/>
      </w:r>
    </w:p>
    <w:p>
      <w:pPr>
        <w:pStyle w:val="Heading2"/>
      </w:pPr>
      <w:r>
        <w:rPr>
          <w:b/>
          <w:bCs/>
        </w:rPr>
        <w:t xml:space="preserve">Nutación y Oblicuidad</w:t>
      </w:r>
    </w:p>
    <w:p>
      <w:pPr>
        <w:spacing w:before="60" w:after="60"/>
      </w:pPr>
      <w:r>
        <w:t xml:space="preserve">Los errores de nutación inferiores a 0.004 arcsegundos (equivalente a 0.000001°) confirman que la implementación de las 63 series de nutación IAU 1980 es correcta. La oblicuidad verdadera con error de 0.002° es adecuada para todas las transformaciones de coordenadas del motor.</w:t>
      </w:r>
    </w:p>
    <w:p>
      <w:pPr>
        <w:spacing w:before="0" w:after="100"/>
      </w:pPr>
      <w:r>
        <w:t xml:space="preserve"/>
      </w:r>
    </w:p>
    <w:p>
      <w:pPr>
        <w:pStyle w:val="Heading2"/>
      </w:pPr>
      <w:r>
        <w:rPr>
          <w:b/>
          <w:bCs/>
        </w:rPr>
        <w:t xml:space="preserve">Casas Placidus</w:t>
      </w:r>
    </w:p>
    <w:p>
      <w:pPr>
        <w:spacing w:before="60" w:after="60"/>
      </w:pPr>
      <w:r>
        <w:t xml:space="preserve">El Ascendente calculado para Santiago de Chile en una carta de referencia muestra un error de 0.009°, confirmando que la iteración Newton-Raphson para las cúspides Placidus converge correctamente. Las 12 cúspides se calculan en todos los casos de prueba.</w:t>
      </w:r>
    </w:p>
    <w:p>
      <w:pPr>
        <w:spacing w:before="0" w:after="100"/>
      </w:pPr>
      <w:r>
        <w:t xml:space="preserve"/>
      </w:r>
    </w:p>
    <w:p>
      <w:pPr>
        <w:pStyle w:val="Heading2"/>
      </w:pPr>
      <w:r>
        <w:rPr>
          <w:b/>
          <w:bCs/>
        </w:rPr>
        <w:t xml:space="preserve">Conclusión</w:t>
      </w:r>
    </w:p>
    <w:p>
      <w:pPr>
        <w:spacing w:before="60" w:after="60"/>
      </w:pPr>
      <w:r>
        <w:rPr>
          <w:b w:val="false"/>
          <w:bCs w:val="false"/>
        </w:rPr>
        <w:t xml:space="preserve">Caelis Engine v1.5 pasa el 100% de los tests de validación contra Meeus y JPL Horizons. El motor es apto para uso astronómico de precisión visual e instrumental en el rango 1800–2100 d.C. La suite de validación es reproducible, está incluida en el repositorio y puede ejecutarse en cualquier browser moderno.</w:t>
      </w:r>
    </w:p>
    <w:p>
      <w:pPr>
        <w:spacing w:before="0" w:after="100"/>
      </w:pPr>
      <w:r>
        <w:t xml:space="preserve"/>
      </w:r>
    </w:p>
    <w:p>
      <w:pPr>
        <w:pBdr>
          <w:bottom w:val="single" w:color="5B4FCF" w:sz="6" w:space="1"/>
        </w:pBdr>
        <w:spacing w:before="120" w:after="120"/>
      </w:pPr>
      <w:r>
        <w:t xml:space="preserve"/>
      </w:r>
    </w:p>
    <w:p>
      <w:pPr>
        <w:spacing w:before="160" w:after="80"/>
        <w:jc w:val="center"/>
      </w:pPr>
      <w:r>
        <w:rPr>
          <w:i/>
          <w:iCs/>
          <w:color w:val="888888"/>
          <w:sz w:val="18"/>
          <w:szCs w:val="18"/>
        </w:rPr>
        <w:t xml:space="preserve">Caelis Engine v1.5 · Hermetica Labs · Cristian Valeria Bravo · Marzo 2026</w:t>
      </w:r>
    </w:p>
    <w:p>
      <w:pPr>
        <w:spacing w:before="0" w:after="80"/>
        <w:jc w:val="center"/>
      </w:pPr>
      <w:r>
        <w:rPr>
          <w:color w:val="5B4FCF"/>
          <w:sz w:val="18"/>
          <w:szCs w:val="18"/>
        </w:rPr>
        <w:t xml:space="preserve">github.com/HermeticaLabs/caelis-engine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5B4FCF" w:sz="8" w:space="2"/>
      </w:pBdr>
      <w:spacing w:before="400" w:after="200"/>
      <w:outlineLvl w:val="0"/>
    </w:pPr>
    <w:rPr>
      <w:rFonts w:ascii="Georgia" w:cs="Georgia" w:eastAsia="Georgia" w:hAnsi="Georgia"/>
      <w:b/>
      <w:bCs/>
      <w:color w:val="1A1530"/>
      <w:sz w:val="36"/>
      <w:szCs w:val="36"/>
    </w:rPr>
  </w:style>
  <w:style w:type="paragraph" w:styleId="Heading2">
    <w:name w:val="Heading 2"/>
    <w:basedOn w:val="Normal"/>
    <w:next w:val="Normal"/>
    <w:qFormat/>
    <w:pPr>
      <w:spacing w:before="280" w:after="140"/>
      <w:outlineLvl w:val="1"/>
    </w:pPr>
    <w:rPr>
      <w:rFonts w:ascii="Georgia" w:cs="Georgia" w:eastAsia="Georgia" w:hAnsi="Georgia"/>
      <w:b/>
      <w:bCs/>
      <w:color w:val="5B4FCF"/>
      <w:sz w:val="28"/>
      <w:szCs w:val="28"/>
    </w:rPr>
  </w:style>
  <w:style w:type="paragraph" w:styleId="Heading3">
    <w:name w:val="Heading 3"/>
    <w:basedOn w:val="Normal"/>
    <w:next w:val="Normal"/>
    <w:qFormat/>
    <w:pPr>
      <w:spacing w:before="200" w:after="100"/>
      <w:outlineLvl w:val="2"/>
    </w:pPr>
    <w:rPr>
      <w:rFonts w:ascii="Georgia" w:cs="Georgia" w:eastAsia="Georgia" w:hAnsi="Georgia"/>
      <w:b/>
      <w:bCs/>
      <w:color w:val="8A6FE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2026-03-13T07:08:12.360Z</dcterms:created>
  <dcterms:modified xsi:type="dcterms:W3CDTF">2026-03-13T07:08:12.362Z</dcterms:modified>
</cp:coreProperties>
</file>

<file path=docProps/custom.xml><?xml version="1.0" encoding="utf-8"?>
<Properties xmlns="http://schemas.openxmlformats.org/officeDocument/2006/custom-properties" xmlns:vt="http://schemas.openxmlformats.org/officeDocument/2006/docPropsVTypes"/>
</file>