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9.xml" ContentType="application/vnd.openxmlformats-officedocument.wordprocessingml.header+xml"/>
  <Override PartName="/word/footer4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header5.xml" ContentType="application/vnd.openxmlformats-officedocument.wordprocessingml.header+xml"/>
  <Override PartName="/word/footer9.xml" ContentType="application/vnd.openxmlformats-officedocument.wordprocessingml.footer+xml"/>
  <Override PartName="/word/styles.xml" ContentType="application/vnd.openxmlformats-officedocument.wordprocessingml.styles+xml"/>
  <Override PartName="/word/header6.xml" ContentType="application/vnd.openxmlformats-officedocument.wordprocessingml.header+xml"/>
  <Override PartName="/word/footer8.xml" ContentType="application/vnd.openxmlformats-officedocument.wordprocessingml.footer+xml"/>
  <Override PartName="/word/footer7.xml" ContentType="application/vnd.openxmlformats-officedocument.wordprocessingml.footer+xml"/>
  <Override PartName="/word/footer6.xml" ContentType="application/vnd.openxmlformats-officedocument.wordprocessingml.footer+xml"/>
  <Override PartName="/word/header8.xml" ContentType="application/vnd.openxmlformats-officedocument.wordprocessingml.header+xml"/>
  <Override PartName="/word/header7.xml" ContentType="application/vnd.openxmlformats-officedocument.wordprocessingml.header+xml"/>
  <Override PartName="/word/footer1.xml" ContentType="application/vnd.openxmlformats-officedocument.wordprocessingml.footer+xml"/>
  <Override PartName="/word/footer5.xml" ContentType="application/vnd.openxmlformats-officedocument.wordprocessingml.footer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napToGrid w:val="false"/>
        <w:spacing w:before="240" w:after="0"/>
        <w:jc w:val="center"/>
        <w:rPr>
          <w:rFonts w:hint="eastAsia"/>
          <w:b/>
          <w:sz w:val="36"/>
          <w:szCs w:val="36"/>
        </w:rPr>
      </w:pPr>
      <w:r>
        <w:rPr>
          <w:rFonts w:hint="eastAsia"/>
        </w:rPr>
        <w:t xml:space="preserve">                               </w:t>
      </w:r>
    </w:p>
    <w:p>
      <w:pPr>
        <w:pStyle w:val="Normal"/>
        <w:spacing w:before="240"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  <w:bookmarkStart w:id="0" w:name="_Toc8970076"/>
    </w:p>
    <w:p>
      <w:pPr>
        <w:pStyle w:val="Normal"/>
        <w:spacing w:before="240" w:after="0"/>
        <w:jc w:val="center"/>
        <w:rPr>
          <w:sz w:val="21"/>
        </w:rPr>
      </w:pPr>
      <w:r>
        <w:rPr/>
        <w:drawing>
          <wp:inline distT="0" distB="0" distL="0" distR="0">
            <wp:extent cx="2291080" cy="422910"/>
            <wp:effectExtent l="0" t="0" r="0" b="0"/>
            <wp:docPr id="1" name="图片 1" descr="hit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hit04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1080" cy="4229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240" w:after="0"/>
        <w:jc w:val="center"/>
        <w:rPr>
          <w:sz w:val="21"/>
        </w:rPr>
      </w:pPr>
      <w:r>
        <w:rPr>
          <w:sz w:val="21"/>
        </w:rPr>
      </w:r>
    </w:p>
    <w:p>
      <w:pPr>
        <w:pStyle w:val="Normal"/>
        <w:spacing w:before="240" w:after="0"/>
        <w:jc w:val="center"/>
        <w:rPr>
          <w:rFonts w:ascii="黑体" w:hAnsi="黑体" w:eastAsia="黑体" w:hint="eastAsia"/>
          <w:sz w:val="48"/>
          <w:szCs w:val="48"/>
        </w:rPr>
      </w:pPr>
      <w:r>
        <w:rPr>
          <w:rFonts w:ascii="黑体" w:hAnsi="黑体" w:eastAsia="黑体"/>
          <w:sz w:val="48"/>
          <w:szCs w:val="48"/>
        </w:rPr>
        <w:t xml:space="preserve"> </w:t>
      </w:r>
      <w:r>
        <w:rPr>
          <w:rFonts w:ascii="黑体" w:hAnsi="黑体" w:eastAsia="黑体"/>
          <w:sz w:val="48"/>
          <w:szCs w:val="48"/>
        </w:rPr>
        <w:t>计算机科学与技术导论课程报告</w:t>
      </w:r>
    </w:p>
    <w:p>
      <w:pPr>
        <w:pStyle w:val="Normal"/>
        <w:spacing w:lineRule="auto" w:line="420" w:before="240" w:after="0"/>
        <w:ind w:firstLineChars="373"/>
        <w:rPr>
          <w:sz w:val="28"/>
        </w:rPr>
      </w:pPr>
      <w:r>
        <w:rPr>
          <w:sz w:val="28"/>
        </w:rPr>
      </w:r>
    </w:p>
    <w:p>
      <w:pPr>
        <w:pStyle w:val="Normal"/>
        <w:spacing w:before="240" w:after="0"/>
        <w:ind w:hangingChars="894" w:startChars="170"/>
        <w:jc w:val="start"/>
        <w:rPr>
          <w:rFonts w:eastAsia="黑体"/>
          <w:sz w:val="40"/>
        </w:rPr>
      </w:pPr>
      <w:r>
        <w:rPr>
          <w:rFonts w:ascii="宋体" w:hAnsi="宋体"/>
          <w:sz w:val="32"/>
        </w:rPr>
        <w:t xml:space="preserve">   </w:t>
      </w:r>
      <w:r>
        <w:rPr>
          <w:rFonts w:ascii="宋体" w:hAnsi="宋体"/>
          <w:sz w:val="32"/>
        </w:rPr>
        <w:t>题  目 ： 《</w:t>
      </w:r>
      <w:r>
        <w:rPr>
          <w:rFonts w:eastAsia="宋体" w:ascii="宋体" w:hAnsi="宋体"/>
          <w:sz w:val="32"/>
        </w:rPr>
        <w:t>AlphaFold</w:t>
      </w:r>
      <w:r>
        <w:rPr>
          <w:rFonts w:ascii="宋体" w:hAnsi="宋体"/>
          <w:sz w:val="32"/>
        </w:rPr>
        <w:t>大模型中的计算机系统、物联网、大数据与生物计算的协同应用》</w:t>
      </w:r>
    </w:p>
    <w:p>
      <w:pPr>
        <w:pStyle w:val="Normal"/>
        <w:spacing w:before="240" w:after="0"/>
        <w:rPr>
          <w:rFonts w:eastAsia="黑体"/>
          <w:sz w:val="28"/>
        </w:rPr>
      </w:pPr>
      <w:r>
        <w:rPr>
          <w:rFonts w:eastAsia="黑体"/>
          <w:sz w:val="28"/>
        </w:rPr>
      </w:r>
    </w:p>
    <w:p>
      <w:pPr>
        <w:pStyle w:val="Normal"/>
        <w:spacing w:before="240" w:after="0"/>
        <w:rPr>
          <w:rFonts w:eastAsia="黑体"/>
          <w:sz w:val="28"/>
        </w:rPr>
      </w:pPr>
      <w:r>
        <w:rPr>
          <w:rFonts w:eastAsia="黑体"/>
          <w:sz w:val="28"/>
        </w:rPr>
      </w:r>
    </w:p>
    <w:p>
      <w:pPr>
        <w:pStyle w:val="Normal"/>
        <w:spacing w:lineRule="auto" w:line="420" w:before="240" w:after="0"/>
        <w:ind w:firstLineChars="448"/>
        <w:rPr>
          <w:rFonts w:eastAsia="黑体"/>
          <w:sz w:val="30"/>
        </w:rPr>
      </w:pPr>
      <w:r>
        <w:rPr>
          <w:rFonts w:ascii="宋体" w:hAnsi="宋体"/>
          <w:sz w:val="30"/>
        </w:rPr>
        <w:t xml:space="preserve">专       业       </w:t>
      </w:r>
      <w:r>
        <w:rPr>
          <w:rFonts w:eastAsia="宋体" w:ascii="宋体" w:hAnsi="宋体"/>
          <w:sz w:val="30"/>
        </w:rPr>
        <w:t>AI</w:t>
      </w:r>
      <w:r>
        <w:rPr>
          <w:rFonts w:eastAsia="宋体" w:ascii="宋体" w:hAnsi="宋体"/>
          <w:sz w:val="30"/>
        </w:rPr>
        <w:t>+</w:t>
      </w:r>
      <w:r>
        <w:rPr>
          <w:rFonts w:ascii="宋体" w:hAnsi="宋体"/>
          <w:sz w:val="30"/>
        </w:rPr>
        <w:t>先进技术领军班</w:t>
      </w:r>
    </w:p>
    <w:p>
      <w:pPr>
        <w:pStyle w:val="Normal"/>
        <w:tabs>
          <w:tab w:val="clear" w:pos="420"/>
          <w:tab w:val="left" w:pos="6825" w:leader="none"/>
        </w:tabs>
        <w:spacing w:lineRule="auto" w:line="420" w:before="240" w:after="0"/>
        <w:ind w:firstLineChars="448"/>
        <w:rPr>
          <w:rFonts w:eastAsia="黑体"/>
          <w:sz w:val="30"/>
        </w:rPr>
      </w:pPr>
      <w:r>
        <w:rPr>
          <w:rFonts w:ascii="宋体" w:hAnsi="宋体"/>
          <w:sz w:val="30"/>
        </w:rPr>
        <w:t xml:space="preserve">学       号       </w:t>
      </w:r>
      <w:r>
        <w:rPr>
          <w:rFonts w:eastAsia="宋体" w:ascii="宋体" w:hAnsi="宋体"/>
          <w:sz w:val="30"/>
        </w:rPr>
        <w:t>2025111871</w:t>
      </w:r>
    </w:p>
    <w:p>
      <w:pPr>
        <w:pStyle w:val="Normal"/>
        <w:tabs>
          <w:tab w:val="clear" w:pos="420"/>
          <w:tab w:val="left" w:pos="7035" w:leader="none"/>
        </w:tabs>
        <w:spacing w:lineRule="auto" w:line="420" w:before="240" w:after="0"/>
        <w:ind w:firstLineChars="448"/>
        <w:rPr>
          <w:rFonts w:eastAsia="黑体"/>
          <w:sz w:val="30"/>
          <w:u w:val="single"/>
        </w:rPr>
      </w:pPr>
      <w:r>
        <w:rPr>
          <w:rFonts w:ascii="宋体" w:hAnsi="宋体"/>
          <w:sz w:val="30"/>
        </w:rPr>
        <w:t>姓       名       戴毅</w:t>
      </w:r>
    </w:p>
    <w:p>
      <w:pPr>
        <w:pStyle w:val="Normal"/>
        <w:tabs>
          <w:tab w:val="clear" w:pos="420"/>
          <w:tab w:val="left" w:pos="6825" w:leader="none"/>
        </w:tabs>
        <w:spacing w:lineRule="auto" w:line="420" w:before="240" w:after="0"/>
        <w:ind w:firstLineChars="448"/>
        <w:rPr>
          <w:sz w:val="28"/>
        </w:rPr>
        <w:sectPr>
          <w:headerReference w:type="even" r:id="rId3"/>
          <w:headerReference w:type="default" r:id="rId4"/>
          <w:headerReference w:type="first" r:id="rId5"/>
          <w:footerReference w:type="even" r:id="rId6"/>
          <w:footerReference w:type="default" r:id="rId7"/>
          <w:footerReference w:type="first" r:id="rId8"/>
          <w:type w:val="nextPage"/>
          <w:pgSz w:w="11906" w:h="16838"/>
          <w:pgMar w:left="1701" w:right="1701" w:gutter="0" w:header="1701" w:top="1928" w:footer="1304" w:bottom="1871"/>
          <w:pgNumType w:start="1" w:fmt="decimal"/>
          <w:formProt w:val="false"/>
          <w:textDirection w:val="lrTb"/>
          <w:docGrid w:type="default" w:linePitch="395" w:charSpace="1842"/>
        </w:sectPr>
      </w:pPr>
      <w:r>
        <w:rPr>
          <w:rFonts w:ascii="宋体" w:hAnsi="宋体"/>
          <w:sz w:val="30"/>
        </w:rPr>
        <w:t xml:space="preserve">日       期       </w:t>
      </w:r>
      <w:r>
        <w:rPr>
          <w:rFonts w:eastAsia="宋体" w:ascii="宋体" w:hAnsi="宋体"/>
          <w:sz w:val="30"/>
        </w:rPr>
        <w:t>2026</w:t>
      </w:r>
      <w:r>
        <w:rPr>
          <w:rFonts w:ascii="宋体" w:hAnsi="宋体"/>
          <w:sz w:val="30"/>
        </w:rPr>
        <w:t>年</w:t>
      </w:r>
      <w:r>
        <w:rPr>
          <w:rFonts w:eastAsia="宋体" w:ascii="宋体" w:hAnsi="宋体"/>
          <w:sz w:val="30"/>
        </w:rPr>
        <w:t>9</w:t>
      </w:r>
      <w:r>
        <w:rPr>
          <w:rFonts w:ascii="宋体" w:hAnsi="宋体"/>
          <w:sz w:val="30"/>
        </w:rPr>
        <w:t>月</w:t>
      </w:r>
      <w:r>
        <w:rPr>
          <w:rFonts w:eastAsia="宋体" w:ascii="宋体" w:hAnsi="宋体"/>
          <w:sz w:val="30"/>
        </w:rPr>
        <w:t>11</w:t>
      </w:r>
      <w:r>
        <w:rPr>
          <w:rFonts w:ascii="宋体" w:hAnsi="宋体"/>
          <w:sz w:val="30"/>
        </w:rPr>
        <w:t>日</w:t>
      </w:r>
      <w:bookmarkEnd w:id="0"/>
    </w:p>
    <w:p>
      <w:pPr>
        <w:pStyle w:val="Heading1"/>
        <w:spacing w:before="412" w:after="329"/>
        <w:rPr/>
      </w:pPr>
      <w:bookmarkStart w:id="1" w:name="_Toc250450163"/>
      <w:bookmarkStart w:id="2" w:name="_Toc225579639"/>
      <w:bookmarkStart w:id="3" w:name="_Toc27338278"/>
      <w:r>
        <w:rPr>
          <w:rFonts w:hint="eastAsia"/>
        </w:rPr>
        <w:t>摘  要</w:t>
      </w:r>
      <w:bookmarkEnd w:id="1"/>
      <w:bookmarkEnd w:id="2"/>
      <w:bookmarkEnd w:id="3"/>
    </w:p>
    <w:p>
      <w:pPr>
        <w:pStyle w:val="Normal"/>
        <w:keepLines/>
        <w:rPr/>
      </w:pPr>
      <w:r>
        <w:rPr>
          <w:rFonts w:ascii="宋体" w:hAnsi="宋体"/>
          <w:sz w:val="24"/>
        </w:rPr>
        <w:t>本文围绕</w:t>
      </w:r>
      <w:r>
        <w:rPr>
          <w:rFonts w:eastAsia="宋体" w:ascii="宋体" w:hAnsi="宋体"/>
          <w:sz w:val="24"/>
        </w:rPr>
        <w:t>AlphaFold</w:t>
      </w:r>
      <w:r>
        <w:rPr>
          <w:rFonts w:ascii="宋体" w:hAnsi="宋体"/>
          <w:sz w:val="24"/>
        </w:rPr>
        <w:t>蛋白质结构预测大模型，分析其从数据、算法到工程部署的技术链路，重点讨论计算机系统、物联网、大数据与生物计算在研发流程中的支撑作用。报告梳理结构预测的任务场景与工程约束，给出由数据治理、计算基础设施、模型、实验物联网和科研应用组成的分层架构，并说明训练、推理、实验反馈和知识库更新的闭环过程。进一步分析四类技术如何在异构并行、数据质量、实验自动化、表示学习与结构评价等环节形成互补，最后总结数据偏差、算力成本、模型不确定性、隐私合规和复现性挑战。研究认识是：</w:t>
      </w:r>
      <w:r>
        <w:rPr>
          <w:rFonts w:eastAsia="宋体" w:ascii="宋体" w:hAnsi="宋体"/>
          <w:sz w:val="24"/>
        </w:rPr>
        <w:t>AlphaFold</w:t>
      </w:r>
      <w:r>
        <w:rPr>
          <w:rFonts w:ascii="宋体" w:hAnsi="宋体"/>
          <w:sz w:val="24"/>
        </w:rPr>
        <w:t>的突破并非单一算法的结果，而是多类技术围绕统一工程目标协同优化的结果。</w:t>
      </w:r>
    </w:p>
    <w:p>
      <w:pPr>
        <w:pStyle w:val="Normal"/>
        <w:spacing w:before="0" w:after="160"/>
        <w:ind w:firstLine="420"/>
        <w:rPr/>
      </w:pPr>
      <w:r>
        <w:rPr>
          <w:rFonts w:ascii="宋体" w:hAnsi="宋体"/>
          <w:b/>
          <w:sz w:val="24"/>
        </w:rPr>
        <w:t>关键词：</w:t>
      </w:r>
      <w:r>
        <w:rPr>
          <w:rFonts w:eastAsia="宋体" w:ascii="宋体" w:hAnsi="宋体"/>
          <w:sz w:val="24"/>
        </w:rPr>
        <w:t>AlphaFold</w:t>
      </w:r>
      <w:r>
        <w:rPr>
          <w:rFonts w:ascii="宋体" w:hAnsi="宋体"/>
          <w:sz w:val="24"/>
        </w:rPr>
        <w:t>；蛋白质结构预测；计算机系统；物联网；大数据；生物计算</w:t>
      </w:r>
      <w:r>
        <w:br w:type="page"/>
      </w:r>
    </w:p>
    <w:p>
      <w:pPr>
        <w:pStyle w:val="Normal"/>
        <w:snapToGrid w:val="false"/>
        <w:spacing w:before="412" w:after="329"/>
        <w:jc w:val="center"/>
        <w:rPr>
          <w:rFonts w:ascii="黑体" w:hAnsi="黑体" w:eastAsia="黑体"/>
          <w:b/>
          <w:sz w:val="36"/>
          <w:szCs w:val="36"/>
        </w:rPr>
      </w:pPr>
      <w:r>
        <w:rPr>
          <w:rFonts w:ascii="黑体" w:hAnsi="黑体" w:hint="eastAsia" w:eastAsia="黑体"/>
          <w:b/>
          <w:sz w:val="36"/>
          <w:szCs w:val="36"/>
        </w:rPr>
        <w:t>目  录</w:t>
      </w:r>
    </w:p>
    <w:p>
      <w:pPr>
        <w:pStyle w:val="TOC1"/>
        <w:spacing w:before="0" w:after="0"/>
        <w:rPr/>
      </w:pPr>
      <w:r>
        <w:rPr>
          <w:rFonts w:ascii="宋体" w:hAnsi="宋体"/>
          <w:sz w:val="22"/>
        </w:rPr>
        <w:t>摘  要</w:t>
      </w:r>
      <w:r>
        <w:rPr>
          <w:rFonts w:eastAsia="宋体" w:ascii="宋体" w:hAnsi="宋体"/>
          <w:sz w:val="22"/>
        </w:rPr>
        <w:tab/>
        <w:t>I</w:t>
      </w:r>
    </w:p>
    <w:p>
      <w:pPr>
        <w:pStyle w:val="TOC1"/>
        <w:spacing w:before="0" w:after="0"/>
        <w:rPr/>
      </w:pPr>
      <w:r>
        <w:rPr>
          <w:rFonts w:ascii="宋体" w:hAnsi="宋体"/>
          <w:sz w:val="22"/>
        </w:rPr>
        <w:t>第</w:t>
      </w:r>
      <w:r>
        <w:rPr>
          <w:rFonts w:eastAsia="宋体" w:ascii="宋体" w:hAnsi="宋体"/>
          <w:sz w:val="22"/>
        </w:rPr>
        <w:t>1</w:t>
      </w:r>
      <w:r>
        <w:rPr>
          <w:rFonts w:ascii="宋体" w:hAnsi="宋体"/>
          <w:sz w:val="22"/>
        </w:rPr>
        <w:t>章 工程问题与任务场景</w:t>
      </w:r>
      <w:r>
        <w:rPr>
          <w:rFonts w:eastAsia="宋体" w:ascii="宋体" w:hAnsi="宋体"/>
          <w:sz w:val="22"/>
        </w:rPr>
        <w:tab/>
        <w:t>1</w:t>
      </w:r>
    </w:p>
    <w:p>
      <w:pPr>
        <w:pStyle w:val="TOC1"/>
        <w:spacing w:before="0" w:after="0"/>
        <w:rPr/>
      </w:pPr>
      <w:r>
        <w:rPr>
          <w:rFonts w:ascii="宋体" w:hAnsi="宋体"/>
          <w:sz w:val="22"/>
        </w:rPr>
        <w:t>第</w:t>
      </w:r>
      <w:r>
        <w:rPr>
          <w:rFonts w:eastAsia="宋体" w:ascii="宋体" w:hAnsi="宋体"/>
          <w:sz w:val="22"/>
        </w:rPr>
        <w:t>2</w:t>
      </w:r>
      <w:r>
        <w:rPr>
          <w:rFonts w:ascii="宋体" w:hAnsi="宋体"/>
          <w:sz w:val="22"/>
        </w:rPr>
        <w:t>章 总体架构与工作流程</w:t>
      </w:r>
      <w:r>
        <w:rPr>
          <w:rFonts w:eastAsia="宋体" w:ascii="宋体" w:hAnsi="宋体"/>
          <w:sz w:val="22"/>
        </w:rPr>
        <w:tab/>
        <w:t>2</w:t>
      </w:r>
    </w:p>
    <w:p>
      <w:pPr>
        <w:pStyle w:val="TOC1"/>
        <w:spacing w:before="0" w:after="0"/>
        <w:rPr/>
      </w:pPr>
      <w:r>
        <w:rPr>
          <w:rFonts w:ascii="宋体" w:hAnsi="宋体"/>
          <w:sz w:val="22"/>
        </w:rPr>
        <w:t>第</w:t>
      </w:r>
      <w:r>
        <w:rPr>
          <w:rFonts w:eastAsia="宋体" w:ascii="宋体" w:hAnsi="宋体"/>
          <w:sz w:val="22"/>
        </w:rPr>
        <w:t>3</w:t>
      </w:r>
      <w:r>
        <w:rPr>
          <w:rFonts w:ascii="宋体" w:hAnsi="宋体"/>
          <w:sz w:val="22"/>
        </w:rPr>
        <w:t>章 四个方向在系统中的应用</w:t>
      </w:r>
      <w:r>
        <w:rPr>
          <w:rFonts w:eastAsia="宋体" w:ascii="宋体" w:hAnsi="宋体"/>
          <w:sz w:val="22"/>
        </w:rPr>
        <w:tab/>
        <w:t>4</w:t>
      </w:r>
    </w:p>
    <w:p>
      <w:pPr>
        <w:pStyle w:val="TOC1"/>
        <w:spacing w:before="0" w:after="0"/>
        <w:rPr/>
      </w:pPr>
      <w:r>
        <w:rPr>
          <w:rFonts w:ascii="宋体" w:hAnsi="宋体"/>
          <w:sz w:val="22"/>
        </w:rPr>
        <w:t>第</w:t>
      </w:r>
      <w:r>
        <w:rPr>
          <w:rFonts w:eastAsia="宋体" w:ascii="宋体" w:hAnsi="宋体"/>
          <w:sz w:val="22"/>
        </w:rPr>
        <w:t>4</w:t>
      </w:r>
      <w:r>
        <w:rPr>
          <w:rFonts w:ascii="宋体" w:hAnsi="宋体"/>
          <w:sz w:val="22"/>
        </w:rPr>
        <w:t>章 四类技术的协同应用</w:t>
      </w:r>
      <w:r>
        <w:rPr>
          <w:rFonts w:eastAsia="宋体" w:ascii="宋体" w:hAnsi="宋体"/>
          <w:sz w:val="22"/>
        </w:rPr>
        <w:tab/>
        <w:t>6</w:t>
      </w:r>
    </w:p>
    <w:p>
      <w:pPr>
        <w:pStyle w:val="TOC1"/>
        <w:spacing w:before="0" w:after="0"/>
        <w:rPr/>
      </w:pPr>
      <w:r>
        <w:rPr>
          <w:rFonts w:ascii="宋体" w:hAnsi="宋体"/>
          <w:sz w:val="22"/>
        </w:rPr>
        <w:t>第</w:t>
      </w:r>
      <w:r>
        <w:rPr>
          <w:rFonts w:eastAsia="宋体" w:ascii="宋体" w:hAnsi="宋体"/>
          <w:sz w:val="22"/>
        </w:rPr>
        <w:t>5</w:t>
      </w:r>
      <w:r>
        <w:rPr>
          <w:rFonts w:ascii="宋体" w:hAnsi="宋体"/>
          <w:sz w:val="22"/>
        </w:rPr>
        <w:t>章 工程挑战与个人思考</w:t>
      </w:r>
      <w:r>
        <w:rPr>
          <w:rFonts w:eastAsia="宋体" w:ascii="宋体" w:hAnsi="宋体"/>
          <w:sz w:val="22"/>
        </w:rPr>
        <w:tab/>
        <w:t>7</w:t>
      </w:r>
    </w:p>
    <w:p>
      <w:pPr>
        <w:pStyle w:val="TOC1"/>
        <w:spacing w:before="0" w:after="0"/>
        <w:rPr/>
      </w:pPr>
      <w:r>
        <w:rPr>
          <w:rFonts w:ascii="宋体" w:hAnsi="宋体"/>
          <w:sz w:val="22"/>
        </w:rPr>
        <w:t>第</w:t>
      </w:r>
      <w:r>
        <w:rPr>
          <w:rFonts w:eastAsia="宋体" w:ascii="宋体" w:hAnsi="宋体"/>
          <w:sz w:val="22"/>
        </w:rPr>
        <w:t>6</w:t>
      </w:r>
      <w:r>
        <w:rPr>
          <w:rFonts w:ascii="宋体" w:hAnsi="宋体"/>
          <w:sz w:val="22"/>
        </w:rPr>
        <w:t>章 结  论</w:t>
      </w:r>
      <w:r>
        <w:rPr>
          <w:rFonts w:eastAsia="宋体" w:ascii="宋体" w:hAnsi="宋体"/>
          <w:sz w:val="22"/>
        </w:rPr>
        <w:tab/>
        <w:t>9</w:t>
      </w:r>
    </w:p>
    <w:p>
      <w:pPr>
        <w:pStyle w:val="TOC1"/>
        <w:spacing w:before="0" w:after="0"/>
        <w:rPr/>
      </w:pPr>
      <w:r>
        <w:rPr>
          <w:rFonts w:ascii="宋体" w:hAnsi="宋体"/>
          <w:sz w:val="22"/>
        </w:rPr>
        <w:t>参考文献</w:t>
      </w:r>
      <w:r>
        <w:rPr>
          <w:rFonts w:eastAsia="宋体" w:ascii="宋体" w:hAnsi="宋体"/>
          <w:sz w:val="22"/>
        </w:rPr>
        <w:tab/>
        <w:t>10</w:t>
      </w:r>
    </w:p>
    <w:p>
      <w:pPr>
        <w:sectPr>
          <w:headerReference w:type="even" r:id="rId9"/>
          <w:headerReference w:type="default" r:id="rId10"/>
          <w:headerReference w:type="first" r:id="rId11"/>
          <w:footerReference w:type="even" r:id="rId12"/>
          <w:footerReference w:type="default" r:id="rId13"/>
          <w:footerReference w:type="first" r:id="rId14"/>
          <w:type w:val="nextPage"/>
          <w:pgSz w:w="11906" w:h="16838"/>
          <w:pgMar w:left="1701" w:right="1701" w:gutter="0" w:header="1701" w:top="1758" w:footer="1304" w:bottom="1531"/>
          <w:pgNumType w:start="1" w:fmt="upperRoman"/>
          <w:formProt w:val="false"/>
          <w:textDirection w:val="lrTb"/>
          <w:docGrid w:type="lines" w:linePitch="412" w:charSpace="1842"/>
        </w:sectPr>
      </w:pPr>
    </w:p>
    <w:p>
      <w:pPr>
        <w:pStyle w:val="Normal"/>
        <w:rPr/>
      </w:pPr>
      <w:r>
        <w:rPr/>
      </w:r>
    </w:p>
    <w:p>
      <w:pPr>
        <w:sectPr>
          <w:type w:val="continuous"/>
          <w:pgSz w:w="11906" w:h="16838"/>
          <w:pgMar w:left="1701" w:right="1701" w:gutter="0" w:header="1701" w:top="1758" w:footer="1304" w:bottom="1531"/>
          <w:formProt w:val="false"/>
          <w:textDirection w:val="lrTb"/>
          <w:docGrid w:type="lines" w:linePitch="412" w:charSpace="1842"/>
        </w:sectPr>
      </w:pPr>
      <w:r>
        <w:br w:type="page"/>
      </w:r>
    </w:p>
    <w:p>
      <w:pPr>
        <w:pStyle w:val="Heading1"/>
        <w:keepNext w:val="true"/>
        <w:rPr/>
      </w:pPr>
      <w:r>
        <w:rPr>
          <w:rFonts w:ascii="黑体" w:hAnsi="黑体"/>
          <w:b/>
          <w:sz w:val="36"/>
        </w:rPr>
        <w:t>第</w:t>
      </w:r>
      <w:r>
        <w:rPr>
          <w:rFonts w:eastAsia="黑体" w:ascii="黑体" w:hAnsi="黑体"/>
          <w:b/>
          <w:sz w:val="36"/>
        </w:rPr>
        <w:t>1</w:t>
      </w:r>
      <w:r>
        <w:rPr>
          <w:rFonts w:ascii="黑体" w:hAnsi="黑体"/>
          <w:b/>
          <w:sz w:val="36"/>
        </w:rPr>
        <w:t>章 工程问题与任务场景</w:t>
      </w:r>
    </w:p>
    <w:p>
      <w:pPr>
        <w:pStyle w:val="Normal"/>
        <w:widowControl/>
        <w:spacing w:lineRule="auto" w:line="360" w:before="0" w:after="120"/>
        <w:ind w:firstLine="420"/>
        <w:rPr/>
      </w:pPr>
      <w:r>
        <w:rPr>
          <w:rFonts w:eastAsia="宋体" w:ascii="宋体" w:hAnsi="宋体"/>
          <w:sz w:val="24"/>
        </w:rPr>
        <w:t>AlphaFold</w:t>
      </w:r>
      <w:r>
        <w:rPr>
          <w:rFonts w:ascii="宋体" w:hAnsi="宋体"/>
          <w:sz w:val="24"/>
        </w:rPr>
        <w:t>解决的核心问题是：给定氨基酸序列，推断蛋白质在生理条件下可能采取的三维结构。蛋白质结构决定其与配体、膜和其他蛋白质的相互作用，是药物设计、疾病机制研究和工业酶改造的重要基础。传统实验方法如</w:t>
      </w:r>
      <w:r>
        <w:rPr>
          <w:rFonts w:eastAsia="宋体" w:ascii="宋体" w:hAnsi="宋体"/>
          <w:sz w:val="24"/>
        </w:rPr>
        <w:t>X</w:t>
      </w:r>
      <w:r>
        <w:rPr>
          <w:rFonts w:ascii="宋体" w:hAnsi="宋体"/>
          <w:sz w:val="24"/>
        </w:rPr>
        <w:t>射线晶体学、冷冻电镜和核磁共振能够提供高质量结构，但实验周期长、成本高且对样品条件敏感，难以覆盖数量庞大的序列空间。结构预测因此成为典型的“数据密集型科学计算”任务。</w:t>
      </w:r>
    </w:p>
    <w:p>
      <w:pPr>
        <w:pStyle w:val="Normal"/>
        <w:widowControl/>
        <w:spacing w:lineRule="auto" w:line="360" w:before="0" w:after="120"/>
        <w:ind w:firstLine="420"/>
        <w:rPr/>
      </w:pPr>
      <w:r>
        <w:rPr>
          <w:rFonts w:ascii="宋体" w:hAnsi="宋体"/>
          <w:sz w:val="24"/>
        </w:rPr>
        <w:t>从工程角度看，任务并不止于一次模型推理。研发团队需要先整理来自公共数据库和实验室的序列、结构、注释及质量标签，完成去重、划分和版本管理；训练阶段要在大规模加速器集群上进行分布式计算；推理阶段要对结果进行置信度评估、可视化和检索；实验阶段还要用自动化设备验证候选结构，并将新数据回流模型。由此形成了跨越软件、硬件、网络和生物实验的系统工程问题。</w:t>
      </w:r>
    </w:p>
    <w:p>
      <w:pPr>
        <w:pStyle w:val="Normal"/>
        <w:widowControl/>
        <w:spacing w:lineRule="auto" w:line="360" w:before="0" w:after="120"/>
        <w:ind w:firstLine="420"/>
        <w:rPr/>
      </w:pPr>
      <w:r>
        <w:rPr>
          <w:rFonts w:ascii="宋体" w:hAnsi="宋体"/>
          <w:sz w:val="24"/>
        </w:rPr>
        <w:t>课程要求中的四个方向分别对应这一链路的关键瓶颈：计算机系统负责算力组织和服务可靠性，物联网负责把仪器和环境信息接入数字流程，大数据负责让数据可治理、可追溯、可复用，生物计算负责把序列、结构和实验知识转化为模型可学习的表示。四类技术共同决定系统能否从“能预测”走向“可验证、可复现、可迭代”。</w:t>
      </w:r>
      <w:r>
        <w:br w:type="page"/>
      </w:r>
    </w:p>
    <w:p>
      <w:pPr>
        <w:pStyle w:val="Heading1"/>
        <w:keepNext w:val="true"/>
        <w:rPr/>
      </w:pPr>
      <w:r>
        <w:rPr>
          <w:rFonts w:ascii="黑体" w:hAnsi="黑体"/>
          <w:b/>
          <w:sz w:val="36"/>
        </w:rPr>
        <w:t>第</w:t>
      </w:r>
      <w:r>
        <w:rPr>
          <w:rFonts w:eastAsia="黑体" w:ascii="黑体" w:hAnsi="黑体"/>
          <w:b/>
          <w:sz w:val="36"/>
        </w:rPr>
        <w:t>2</w:t>
      </w:r>
      <w:r>
        <w:rPr>
          <w:rFonts w:ascii="黑体" w:hAnsi="黑体"/>
          <w:b/>
          <w:sz w:val="36"/>
        </w:rPr>
        <w:t>章 总体架构与工作流程</w:t>
      </w:r>
    </w:p>
    <w:p>
      <w:pPr>
        <w:pStyle w:val="Normal"/>
        <w:widowControl/>
        <w:spacing w:lineRule="auto" w:line="360" w:before="0" w:after="120"/>
        <w:ind w:firstLine="420"/>
        <w:rPr/>
      </w:pPr>
      <w:r>
        <w:rPr>
          <w:rFonts w:ascii="宋体" w:hAnsi="宋体"/>
          <w:sz w:val="24"/>
        </w:rPr>
        <w:t>报告采用分层架构描述</w:t>
      </w:r>
      <w:r>
        <w:rPr>
          <w:rFonts w:eastAsia="宋体" w:ascii="宋体" w:hAnsi="宋体"/>
          <w:sz w:val="24"/>
        </w:rPr>
        <w:t>AlphaFold</w:t>
      </w:r>
      <w:r>
        <w:rPr>
          <w:rFonts w:ascii="宋体" w:hAnsi="宋体"/>
          <w:sz w:val="24"/>
        </w:rPr>
        <w:t>协同系统。底层是计算机系统与网络，提供</w:t>
      </w:r>
      <w:r>
        <w:rPr>
          <w:rFonts w:eastAsia="宋体" w:ascii="宋体" w:hAnsi="宋体"/>
          <w:sz w:val="24"/>
        </w:rPr>
        <w:t>CPU/GPU</w:t>
      </w:r>
      <w:r>
        <w:rPr>
          <w:rFonts w:ascii="宋体" w:hAnsi="宋体"/>
          <w:sz w:val="24"/>
        </w:rPr>
        <w:t>、存储、容器和任务调度；其上是数据治理层，负责原始数据接入、质量控制、特征生成、元数据登记和数据湖存储；模型层实现序列编码、注意力计算、结构模块和置信度输出；物联网实验层连接液体工作站、显微设备、传感器和实验追踪系统；最上层是科研应用层，提供结构数据库、候选排序、可视化和协作接口。</w:t>
      </w:r>
    </w:p>
    <w:p>
      <w:pPr>
        <w:pStyle w:val="Normal"/>
        <w:spacing w:before="0" w:after="80"/>
        <w:jc w:val="center"/>
        <w:rPr/>
      </w:pPr>
      <w:r>
        <w:rPr/>
        <w:drawing>
          <wp:inline distT="0" distB="0" distL="0" distR="0">
            <wp:extent cx="5577840" cy="30988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3098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80" w:after="160"/>
        <w:jc w:val="center"/>
        <w:rPr/>
      </w:pPr>
      <w:r>
        <w:rPr>
          <w:rFonts w:ascii="宋体" w:hAnsi="宋体"/>
          <w:sz w:val="21"/>
        </w:rPr>
        <w:t>图</w:t>
      </w:r>
      <w:r>
        <w:rPr>
          <w:rFonts w:eastAsia="宋体" w:ascii="宋体" w:hAnsi="宋体"/>
          <w:sz w:val="21"/>
        </w:rPr>
        <w:t>1  AlphaFold</w:t>
      </w:r>
      <w:r>
        <w:rPr>
          <w:rFonts w:ascii="宋体" w:hAnsi="宋体"/>
          <w:sz w:val="21"/>
        </w:rPr>
        <w:t>协同计算系统的分层架构与主要数据流</w:t>
      </w:r>
    </w:p>
    <w:p>
      <w:pPr>
        <w:pStyle w:val="Normal"/>
        <w:widowControl/>
        <w:spacing w:lineRule="auto" w:line="360" w:before="0" w:after="120"/>
        <w:ind w:firstLine="420"/>
        <w:rPr/>
      </w:pPr>
      <w:r>
        <w:rPr>
          <w:rFonts w:ascii="宋体" w:hAnsi="宋体"/>
          <w:sz w:val="24"/>
        </w:rPr>
        <w:t>典型工作流程可分为五步。第一步，研究人员提交序列、物种和任务目标，系统生成任务标识并记录权限。第二步，数据治理服务执行格式校验、序列去重、同源序列检索和训练集隔离，生成可追溯的特征包。第三步，调度器按照优先级和资源配额将推理任务分派到</w:t>
      </w:r>
      <w:r>
        <w:rPr>
          <w:rFonts w:eastAsia="宋体" w:ascii="宋体" w:hAnsi="宋体"/>
          <w:sz w:val="24"/>
        </w:rPr>
        <w:t>GPU</w:t>
      </w:r>
      <w:r>
        <w:rPr>
          <w:rFonts w:ascii="宋体" w:hAnsi="宋体"/>
          <w:sz w:val="24"/>
        </w:rPr>
        <w:t>节点，模型输出结构坐标、</w:t>
      </w:r>
      <w:r>
        <w:rPr>
          <w:rFonts w:eastAsia="宋体" w:ascii="宋体" w:hAnsi="宋体"/>
          <w:sz w:val="24"/>
        </w:rPr>
        <w:t>pLDDT</w:t>
      </w:r>
      <w:r>
        <w:rPr>
          <w:rFonts w:ascii="宋体" w:hAnsi="宋体"/>
          <w:sz w:val="24"/>
        </w:rPr>
        <w:t>、</w:t>
      </w:r>
      <w:r>
        <w:rPr>
          <w:rFonts w:eastAsia="宋体" w:ascii="宋体" w:hAnsi="宋体"/>
          <w:sz w:val="24"/>
        </w:rPr>
        <w:t>PAE</w:t>
      </w:r>
      <w:r>
        <w:rPr>
          <w:rFonts w:ascii="宋体" w:hAnsi="宋体"/>
          <w:sz w:val="24"/>
        </w:rPr>
        <w:t>等置信度指标。第四步，应用层把结构与已知功能、配体和实验条件关联，生成可解释的候选报告。第五步，实验设备执行验证，将测量结果、失败原因和环境参数回写数据湖，用于模型评估和下一轮训练。</w:t>
      </w:r>
    </w:p>
    <w:p>
      <w:pPr>
        <w:pStyle w:val="Normal"/>
        <w:widowControl/>
        <w:spacing w:lineRule="auto" w:line="360" w:before="0" w:after="120"/>
        <w:ind w:firstLine="420"/>
        <w:rPr/>
      </w:pPr>
      <w:r>
        <w:rPr>
          <w:rFonts w:ascii="宋体" w:hAnsi="宋体"/>
          <w:sz w:val="24"/>
        </w:rPr>
        <w:t>架构设计的重点是“数据流先于模块边界”。每一份输入和输出都带有版本、时间、操作者、软件镜像和硬件环境等元数据；中间结果通过对象存储和消息队列解耦，使模型升级不会破坏实验记录；关键节点设置校验和、断点续算及审计日志，确保结果可复现。</w:t>
      </w:r>
      <w:r>
        <w:br w:type="page"/>
      </w:r>
    </w:p>
    <w:p>
      <w:pPr>
        <w:pStyle w:val="Heading1"/>
        <w:keepNext w:val="true"/>
        <w:rPr/>
      </w:pPr>
      <w:r>
        <w:rPr>
          <w:rFonts w:ascii="黑体" w:hAnsi="黑体"/>
          <w:b/>
          <w:sz w:val="36"/>
        </w:rPr>
        <w:t>第</w:t>
      </w:r>
      <w:r>
        <w:rPr>
          <w:rFonts w:eastAsia="黑体" w:ascii="黑体" w:hAnsi="黑体"/>
          <w:b/>
          <w:sz w:val="36"/>
        </w:rPr>
        <w:t>3</w:t>
      </w:r>
      <w:r>
        <w:rPr>
          <w:rFonts w:ascii="黑体" w:hAnsi="黑体"/>
          <w:b/>
          <w:sz w:val="36"/>
        </w:rPr>
        <w:t>章 四个方向在系统中的应用</w:t>
      </w:r>
    </w:p>
    <w:p>
      <w:pPr>
        <w:pStyle w:val="Normal"/>
        <w:widowControl/>
        <w:spacing w:lineRule="auto" w:line="360" w:before="0" w:after="120"/>
        <w:ind w:firstLine="420"/>
        <w:rPr/>
      </w:pPr>
      <w:r>
        <w:rPr>
          <w:rFonts w:ascii="宋体" w:hAnsi="宋体"/>
          <w:sz w:val="24"/>
        </w:rPr>
        <w:t>（</w:t>
      </w:r>
      <w:r>
        <w:rPr>
          <w:rFonts w:eastAsia="宋体" w:ascii="宋体" w:hAnsi="宋体"/>
          <w:sz w:val="24"/>
        </w:rPr>
        <w:t>1</w:t>
      </w:r>
      <w:r>
        <w:rPr>
          <w:rFonts w:ascii="宋体" w:hAnsi="宋体"/>
          <w:sz w:val="24"/>
        </w:rPr>
        <w:t>）计算机系统。</w:t>
      </w:r>
      <w:r>
        <w:rPr>
          <w:rFonts w:eastAsia="宋体" w:ascii="宋体" w:hAnsi="宋体"/>
          <w:sz w:val="24"/>
        </w:rPr>
        <w:t>AlphaFold</w:t>
      </w:r>
      <w:r>
        <w:rPr>
          <w:rFonts w:ascii="宋体" w:hAnsi="宋体"/>
          <w:sz w:val="24"/>
        </w:rPr>
        <w:t>的注意力机制、三角更新和结构模块包含大量矩阵运算，适合</w:t>
      </w:r>
      <w:r>
        <w:rPr>
          <w:rFonts w:eastAsia="宋体" w:ascii="宋体" w:hAnsi="宋体"/>
          <w:sz w:val="24"/>
        </w:rPr>
        <w:t>GPU</w:t>
      </w:r>
      <w:r>
        <w:rPr>
          <w:rFonts w:ascii="宋体" w:hAnsi="宋体"/>
          <w:sz w:val="24"/>
        </w:rPr>
        <w:t>或专用加速器并行执行。系统需要进行显存规划、混合精度、算子融合和批处理，以提高吞吐并降低能耗。集群侧通过作业调度器实现队列、抢占、重试和资源隔离，服务侧通过容器镜像锁定依赖版本，并用监控指标识别显存不足、网络拥塞和节点故障。对于科研用户，最好提供统一的</w:t>
      </w:r>
      <w:r>
        <w:rPr>
          <w:rFonts w:eastAsia="宋体" w:ascii="宋体" w:hAnsi="宋体"/>
          <w:sz w:val="24"/>
        </w:rPr>
        <w:t>API</w:t>
      </w:r>
      <w:r>
        <w:rPr>
          <w:rFonts w:ascii="宋体" w:hAnsi="宋体"/>
          <w:sz w:val="24"/>
        </w:rPr>
        <w:t>和命令行入口，让“提交序列—获得结构”成为可审计的服务调用。</w:t>
      </w:r>
    </w:p>
    <w:p>
      <w:pPr>
        <w:pStyle w:val="Normal"/>
        <w:widowControl/>
        <w:spacing w:lineRule="auto" w:line="360" w:before="0" w:after="120"/>
        <w:ind w:firstLine="420"/>
        <w:rPr/>
      </w:pPr>
      <w:r>
        <w:rPr>
          <w:rFonts w:ascii="宋体" w:hAnsi="宋体"/>
          <w:sz w:val="24"/>
        </w:rPr>
        <w:t>（</w:t>
      </w:r>
      <w:r>
        <w:rPr>
          <w:rFonts w:eastAsia="宋体" w:ascii="宋体" w:hAnsi="宋体"/>
          <w:sz w:val="24"/>
        </w:rPr>
        <w:t>2</w:t>
      </w:r>
      <w:r>
        <w:rPr>
          <w:rFonts w:ascii="宋体" w:hAnsi="宋体"/>
          <w:sz w:val="24"/>
        </w:rPr>
        <w:t>）物联网。结构预测本身是数字计算，但模型可信度必须通过实验验证。实验室可将温度、</w:t>
      </w:r>
      <w:r>
        <w:rPr>
          <w:rFonts w:eastAsia="宋体" w:ascii="宋体" w:hAnsi="宋体"/>
          <w:sz w:val="24"/>
        </w:rPr>
        <w:t>pH</w:t>
      </w:r>
      <w:r>
        <w:rPr>
          <w:rFonts w:ascii="宋体" w:hAnsi="宋体"/>
          <w:sz w:val="24"/>
        </w:rPr>
        <w:t>、压力、流速、样品批次和仪器状态接入传感器网络，以时间序列形式写入实验平台；液体工作站和机械臂按照协议执行加样、反应和制样，设备控制器反馈每一步的状态码。边缘网关负责协议转换、异常过滤和断网缓存，云端负责长期存储和跨项目分析。这样可以把“实验做过”转化为“实验过程可重放、可比较”。</w:t>
      </w:r>
    </w:p>
    <w:p>
      <w:pPr>
        <w:pStyle w:val="Normal"/>
        <w:widowControl/>
        <w:spacing w:lineRule="auto" w:line="360" w:before="0" w:after="120"/>
        <w:ind w:firstLine="420"/>
        <w:rPr/>
      </w:pPr>
      <w:r>
        <w:rPr>
          <w:rFonts w:ascii="宋体" w:hAnsi="宋体"/>
          <w:sz w:val="24"/>
        </w:rPr>
        <w:t>（</w:t>
      </w:r>
      <w:r>
        <w:rPr>
          <w:rFonts w:eastAsia="宋体" w:ascii="宋体" w:hAnsi="宋体"/>
          <w:sz w:val="24"/>
        </w:rPr>
        <w:t>3</w:t>
      </w:r>
      <w:r>
        <w:rPr>
          <w:rFonts w:ascii="宋体" w:hAnsi="宋体"/>
          <w:sz w:val="24"/>
        </w:rPr>
        <w:t>）大数据。训练数据涉及</w:t>
      </w:r>
      <w:r>
        <w:rPr>
          <w:rFonts w:eastAsia="宋体" w:ascii="宋体" w:hAnsi="宋体"/>
          <w:sz w:val="24"/>
        </w:rPr>
        <w:t>PDB</w:t>
      </w:r>
      <w:r>
        <w:rPr>
          <w:rFonts w:ascii="宋体" w:hAnsi="宋体"/>
          <w:sz w:val="24"/>
        </w:rPr>
        <w:t>结构、</w:t>
      </w:r>
      <w:r>
        <w:rPr>
          <w:rFonts w:eastAsia="宋体" w:ascii="宋体" w:hAnsi="宋体"/>
          <w:sz w:val="24"/>
        </w:rPr>
        <w:t>UniProt</w:t>
      </w:r>
      <w:r>
        <w:rPr>
          <w:rFonts w:ascii="宋体" w:hAnsi="宋体"/>
          <w:sz w:val="24"/>
        </w:rPr>
        <w:t>序列、基因组注释、同源搜索结果和实验测量，规模大、格式多、质量差异明显。数据湖以原始区、清洗区、特征区和发布区分层保存，数据目录记录来源、许可证、处理脚本和质量分数。通过内容寻址、校验和和血缘图可以回答“这个预测使用了哪一版数据和哪一版模型”。批处理框架负责特征生成，流处理框架负责实时接收实验日志；脱敏、访问控制和备份策略则保护样品和合作方数据。</w:t>
      </w:r>
    </w:p>
    <w:p>
      <w:pPr>
        <w:pStyle w:val="Normal"/>
        <w:widowControl/>
        <w:spacing w:lineRule="auto" w:line="360" w:before="0" w:after="120"/>
        <w:ind w:firstLine="420"/>
        <w:rPr/>
      </w:pPr>
      <w:r>
        <w:rPr>
          <w:rFonts w:ascii="宋体" w:hAnsi="宋体"/>
          <w:sz w:val="24"/>
        </w:rPr>
        <w:t>（</w:t>
      </w:r>
      <w:r>
        <w:rPr>
          <w:rFonts w:eastAsia="宋体" w:ascii="宋体" w:hAnsi="宋体"/>
          <w:sz w:val="24"/>
        </w:rPr>
        <w:t>4</w:t>
      </w:r>
      <w:r>
        <w:rPr>
          <w:rFonts w:ascii="宋体" w:hAnsi="宋体"/>
          <w:sz w:val="24"/>
        </w:rPr>
        <w:t>）生物计算。模型需要把离散氨基酸序列转化为连续向量，并利用进化信息、模板信息和几何约束推断三维坐标。生物计算还包括序列比对、同源搜索、结构对齐、功能注释和变异影响评估。评价不能只看单一指标，而应结合</w:t>
      </w:r>
      <w:r>
        <w:rPr>
          <w:rFonts w:eastAsia="宋体" w:ascii="宋体" w:hAnsi="宋体"/>
          <w:sz w:val="24"/>
        </w:rPr>
        <w:t>TM-score</w:t>
      </w:r>
      <w:r>
        <w:rPr>
          <w:rFonts w:ascii="宋体" w:hAnsi="宋体"/>
          <w:sz w:val="24"/>
        </w:rPr>
        <w:t>、</w:t>
      </w:r>
      <w:r>
        <w:rPr>
          <w:rFonts w:eastAsia="宋体" w:ascii="宋体" w:hAnsi="宋体"/>
          <w:sz w:val="24"/>
        </w:rPr>
        <w:t>RMSD</w:t>
      </w:r>
      <w:r>
        <w:rPr>
          <w:rFonts w:ascii="宋体" w:hAnsi="宋体"/>
          <w:sz w:val="24"/>
        </w:rPr>
        <w:t>、</w:t>
      </w:r>
      <w:r>
        <w:rPr>
          <w:rFonts w:eastAsia="宋体" w:ascii="宋体" w:hAnsi="宋体"/>
          <w:sz w:val="24"/>
        </w:rPr>
        <w:t>pLDDT</w:t>
      </w:r>
      <w:r>
        <w:rPr>
          <w:rFonts w:ascii="宋体" w:hAnsi="宋体"/>
          <w:sz w:val="24"/>
        </w:rPr>
        <w:t>、</w:t>
      </w:r>
      <w:r>
        <w:rPr>
          <w:rFonts w:eastAsia="宋体" w:ascii="宋体" w:hAnsi="宋体"/>
          <w:sz w:val="24"/>
        </w:rPr>
        <w:t>PAE</w:t>
      </w:r>
      <w:r>
        <w:rPr>
          <w:rFonts w:ascii="宋体" w:hAnsi="宋体"/>
          <w:sz w:val="24"/>
        </w:rPr>
        <w:t>以及实验成功率；对低置信度区域要明确标注不确定性，避免把预测结构误当作实验事实。</w:t>
      </w:r>
    </w:p>
    <w:tbl>
      <w:tblPr>
        <w:tblStyle w:val="af4"/>
        <w:tblW w:w="8505" w:type="dxa"/>
        <w:jc w:val="center"/>
        <w:tblInd w:w="0" w:type="dxa"/>
        <w:tblLayout w:type="fixed"/>
        <w:tblCellMar>
          <w:top w:w="100" w:type="dxa"/>
          <w:start w:w="120" w:type="dxa"/>
          <w:bottom w:w="100" w:type="dxa"/>
          <w:end w:w="120" w:type="dxa"/>
        </w:tblCellMar>
        <w:tblLook w:noHBand="0" w:noVBand="1" w:firstColumn="1" w:lastRow="0" w:lastColumn="0" w:firstRow="1" w:val="04a0"/>
      </w:tblPr>
      <w:tblGrid>
        <w:gridCol w:w="2126"/>
        <w:gridCol w:w="2126"/>
        <w:gridCol w:w="2126"/>
        <w:gridCol w:w="2127"/>
      </w:tblGrid>
      <w:tr>
        <w:trPr/>
        <w:tc>
          <w:tcPr>
            <w:tcW w:w="2126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shd w:fill="4472C4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宋体" w:cs="Times New Roman"/>
                <w:lang w:val="en-US" w:eastAsia="zh-CN" w:bidi="ar-SA"/>
              </w:rPr>
            </w:pPr>
            <w:r>
              <w:rPr>
                <w:rFonts w:ascii="微软雅黑" w:hAnsi="微软雅黑" w:cs="Times New Roman" w:eastAsia="微软雅黑"/>
                <w:b/>
                <w:color w:val="FFFFFF"/>
                <w:sz w:val="21"/>
                <w:lang w:val="en-US" w:eastAsia="zh-CN" w:bidi="ar-SA"/>
              </w:rPr>
              <w:t>技术方向</w:t>
            </w:r>
          </w:p>
        </w:tc>
        <w:tc>
          <w:tcPr>
            <w:tcW w:w="2126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shd w:fill="4472C4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宋体" w:cs="Times New Roman"/>
                <w:lang w:val="en-US" w:eastAsia="zh-CN" w:bidi="ar-SA"/>
              </w:rPr>
            </w:pPr>
            <w:r>
              <w:rPr>
                <w:rFonts w:ascii="微软雅黑" w:hAnsi="微软雅黑" w:cs="Times New Roman" w:eastAsia="微软雅黑"/>
                <w:b/>
                <w:color w:val="FFFFFF"/>
                <w:sz w:val="21"/>
                <w:lang w:val="en-US" w:eastAsia="zh-CN" w:bidi="ar-SA"/>
              </w:rPr>
              <w:t>主要对象</w:t>
            </w:r>
          </w:p>
        </w:tc>
        <w:tc>
          <w:tcPr>
            <w:tcW w:w="2126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shd w:fill="4472C4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宋体" w:cs="Times New Roman"/>
                <w:lang w:val="en-US" w:eastAsia="zh-CN" w:bidi="ar-SA"/>
              </w:rPr>
            </w:pPr>
            <w:r>
              <w:rPr>
                <w:rFonts w:ascii="微软雅黑" w:hAnsi="微软雅黑" w:cs="Times New Roman" w:eastAsia="微软雅黑"/>
                <w:b/>
                <w:color w:val="FFFFFF"/>
                <w:sz w:val="21"/>
                <w:lang w:val="en-US" w:eastAsia="zh-CN" w:bidi="ar-SA"/>
              </w:rPr>
              <w:t>关键支撑</w:t>
            </w:r>
          </w:p>
        </w:tc>
        <w:tc>
          <w:tcPr>
            <w:tcW w:w="2127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shd w:fill="4472C4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宋体" w:cs="Times New Roman"/>
                <w:lang w:val="en-US" w:eastAsia="zh-CN" w:bidi="ar-SA"/>
              </w:rPr>
            </w:pPr>
            <w:r>
              <w:rPr>
                <w:rFonts w:ascii="微软雅黑" w:hAnsi="微软雅黑" w:cs="Times New Roman" w:eastAsia="微软雅黑"/>
                <w:b/>
                <w:color w:val="FFFFFF"/>
                <w:sz w:val="21"/>
                <w:lang w:val="en-US" w:eastAsia="zh-CN" w:bidi="ar-SA"/>
              </w:rPr>
              <w:t>可观测产出</w:t>
            </w:r>
          </w:p>
        </w:tc>
      </w:tr>
      <w:tr>
        <w:trPr/>
        <w:tc>
          <w:tcPr>
            <w:tcW w:w="2126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宋体" w:cs="Times New Roman"/>
                <w:lang w:val="en-US" w:eastAsia="zh-CN" w:bidi="ar-SA"/>
              </w:rPr>
            </w:pPr>
            <w:r>
              <w:rPr>
                <w:rFonts w:ascii="宋体" w:hAnsi="宋体" w:cs="Times New Roman"/>
                <w:sz w:val="21"/>
                <w:lang w:val="en-US" w:eastAsia="zh-CN" w:bidi="ar-SA"/>
              </w:rPr>
              <w:t>计算机系统</w:t>
            </w:r>
          </w:p>
        </w:tc>
        <w:tc>
          <w:tcPr>
            <w:tcW w:w="2126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宋体" w:cs="Times New Roman"/>
                <w:lang w:val="en-US" w:eastAsia="zh-CN" w:bidi="ar-SA"/>
              </w:rPr>
            </w:pPr>
            <w:r>
              <w:rPr>
                <w:rFonts w:eastAsia="宋体" w:cs="Times New Roman" w:ascii="宋体" w:hAnsi="宋体"/>
                <w:sz w:val="21"/>
                <w:lang w:val="en-US" w:eastAsia="zh-CN" w:bidi="ar-SA"/>
              </w:rPr>
              <w:t>GPU</w:t>
            </w:r>
            <w:r>
              <w:rPr>
                <w:rFonts w:ascii="宋体" w:hAnsi="宋体" w:cs="Times New Roman"/>
                <w:sz w:val="21"/>
                <w:lang w:val="en-US" w:eastAsia="zh-CN" w:bidi="ar-SA"/>
              </w:rPr>
              <w:t>集群、存储、网络</w:t>
            </w:r>
          </w:p>
        </w:tc>
        <w:tc>
          <w:tcPr>
            <w:tcW w:w="2126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宋体" w:cs="Times New Roman"/>
                <w:lang w:val="en-US" w:eastAsia="zh-CN" w:bidi="ar-SA"/>
              </w:rPr>
            </w:pPr>
            <w:r>
              <w:rPr>
                <w:rFonts w:ascii="宋体" w:hAnsi="宋体" w:cs="Times New Roman"/>
                <w:sz w:val="21"/>
                <w:lang w:val="en-US" w:eastAsia="zh-CN" w:bidi="ar-SA"/>
              </w:rPr>
              <w:t>并行计算、调度、容器化</w:t>
            </w:r>
          </w:p>
        </w:tc>
        <w:tc>
          <w:tcPr>
            <w:tcW w:w="2127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宋体" w:cs="Times New Roman"/>
                <w:lang w:val="en-US" w:eastAsia="zh-CN" w:bidi="ar-SA"/>
              </w:rPr>
            </w:pPr>
            <w:r>
              <w:rPr>
                <w:rFonts w:ascii="宋体" w:hAnsi="宋体" w:cs="Times New Roman"/>
                <w:sz w:val="21"/>
                <w:lang w:val="en-US" w:eastAsia="zh-CN" w:bidi="ar-SA"/>
              </w:rPr>
              <w:t>吞吐、延迟、可用性</w:t>
            </w:r>
          </w:p>
        </w:tc>
      </w:tr>
      <w:tr>
        <w:trPr/>
        <w:tc>
          <w:tcPr>
            <w:tcW w:w="2126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shd w:fill="F2F6FA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宋体" w:cs="Times New Roman"/>
                <w:lang w:val="en-US" w:eastAsia="zh-CN" w:bidi="ar-SA"/>
              </w:rPr>
            </w:pPr>
            <w:r>
              <w:rPr>
                <w:rFonts w:ascii="宋体" w:hAnsi="宋体" w:cs="Times New Roman"/>
                <w:sz w:val="21"/>
                <w:lang w:val="en-US" w:eastAsia="zh-CN" w:bidi="ar-SA"/>
              </w:rPr>
              <w:t>物联网</w:t>
            </w:r>
          </w:p>
        </w:tc>
        <w:tc>
          <w:tcPr>
            <w:tcW w:w="2126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shd w:fill="F2F6FA" w:val="clear"/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宋体" w:cs="Times New Roman"/>
                <w:lang w:val="en-US" w:eastAsia="zh-CN" w:bidi="ar-SA"/>
              </w:rPr>
            </w:pPr>
            <w:r>
              <w:rPr>
                <w:rFonts w:ascii="宋体" w:hAnsi="宋体" w:cs="Times New Roman"/>
                <w:sz w:val="21"/>
                <w:lang w:val="en-US" w:eastAsia="zh-CN" w:bidi="ar-SA"/>
              </w:rPr>
              <w:t>传感器、机器人、仪器</w:t>
            </w:r>
          </w:p>
        </w:tc>
        <w:tc>
          <w:tcPr>
            <w:tcW w:w="2126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shd w:fill="F2F6FA" w:val="clear"/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宋体" w:cs="Times New Roman"/>
                <w:lang w:val="en-US" w:eastAsia="zh-CN" w:bidi="ar-SA"/>
              </w:rPr>
            </w:pPr>
            <w:r>
              <w:rPr>
                <w:rFonts w:ascii="宋体" w:hAnsi="宋体" w:cs="Times New Roman"/>
                <w:sz w:val="21"/>
                <w:lang w:val="en-US" w:eastAsia="zh-CN" w:bidi="ar-SA"/>
              </w:rPr>
              <w:t>采集、控制、边缘网关</w:t>
            </w:r>
          </w:p>
        </w:tc>
        <w:tc>
          <w:tcPr>
            <w:tcW w:w="2127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shd w:fill="F2F6FA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宋体" w:cs="Times New Roman"/>
                <w:lang w:val="en-US" w:eastAsia="zh-CN" w:bidi="ar-SA"/>
              </w:rPr>
            </w:pPr>
            <w:r>
              <w:rPr>
                <w:rFonts w:ascii="宋体" w:hAnsi="宋体" w:cs="Times New Roman"/>
                <w:sz w:val="21"/>
                <w:lang w:val="en-US" w:eastAsia="zh-CN" w:bidi="ar-SA"/>
              </w:rPr>
              <w:t>实验轨迹、环境时序</w:t>
            </w:r>
          </w:p>
        </w:tc>
      </w:tr>
      <w:tr>
        <w:trPr/>
        <w:tc>
          <w:tcPr>
            <w:tcW w:w="2126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宋体" w:cs="Times New Roman"/>
                <w:lang w:val="en-US" w:eastAsia="zh-CN" w:bidi="ar-SA"/>
              </w:rPr>
            </w:pPr>
            <w:r>
              <w:rPr>
                <w:rFonts w:ascii="宋体" w:hAnsi="宋体" w:cs="Times New Roman"/>
                <w:sz w:val="21"/>
                <w:lang w:val="en-US" w:eastAsia="zh-CN" w:bidi="ar-SA"/>
              </w:rPr>
              <w:t>大数据</w:t>
            </w:r>
          </w:p>
        </w:tc>
        <w:tc>
          <w:tcPr>
            <w:tcW w:w="2126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宋体" w:cs="Times New Roman"/>
                <w:lang w:val="en-US" w:eastAsia="zh-CN" w:bidi="ar-SA"/>
              </w:rPr>
            </w:pPr>
            <w:r>
              <w:rPr>
                <w:rFonts w:ascii="宋体" w:hAnsi="宋体" w:cs="Times New Roman"/>
                <w:sz w:val="21"/>
                <w:lang w:val="en-US" w:eastAsia="zh-CN" w:bidi="ar-SA"/>
              </w:rPr>
              <w:t>序列、结构、日志</w:t>
            </w:r>
          </w:p>
        </w:tc>
        <w:tc>
          <w:tcPr>
            <w:tcW w:w="2126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宋体" w:cs="Times New Roman"/>
                <w:lang w:val="en-US" w:eastAsia="zh-CN" w:bidi="ar-SA"/>
              </w:rPr>
            </w:pPr>
            <w:r>
              <w:rPr>
                <w:rFonts w:ascii="宋体" w:hAnsi="宋体" w:cs="Times New Roman"/>
                <w:sz w:val="21"/>
                <w:lang w:val="en-US" w:eastAsia="zh-CN" w:bidi="ar-SA"/>
              </w:rPr>
              <w:t>湖仓、目录、血缘、治理</w:t>
            </w:r>
          </w:p>
        </w:tc>
        <w:tc>
          <w:tcPr>
            <w:tcW w:w="2127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宋体" w:cs="Times New Roman"/>
                <w:lang w:val="en-US" w:eastAsia="zh-CN" w:bidi="ar-SA"/>
              </w:rPr>
            </w:pPr>
            <w:r>
              <w:rPr>
                <w:rFonts w:ascii="宋体" w:hAnsi="宋体" w:cs="Times New Roman"/>
                <w:sz w:val="21"/>
                <w:lang w:val="en-US" w:eastAsia="zh-CN" w:bidi="ar-SA"/>
              </w:rPr>
              <w:t>数据质量、可复现性</w:t>
            </w:r>
          </w:p>
        </w:tc>
      </w:tr>
      <w:tr>
        <w:trPr/>
        <w:tc>
          <w:tcPr>
            <w:tcW w:w="2126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shd w:fill="F2F6FA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宋体" w:cs="Times New Roman"/>
                <w:lang w:val="en-US" w:eastAsia="zh-CN" w:bidi="ar-SA"/>
              </w:rPr>
            </w:pPr>
            <w:r>
              <w:rPr>
                <w:rFonts w:ascii="宋体" w:hAnsi="宋体" w:cs="Times New Roman"/>
                <w:sz w:val="21"/>
                <w:lang w:val="en-US" w:eastAsia="zh-CN" w:bidi="ar-SA"/>
              </w:rPr>
              <w:t>生物计算</w:t>
            </w:r>
          </w:p>
        </w:tc>
        <w:tc>
          <w:tcPr>
            <w:tcW w:w="2126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shd w:fill="F2F6FA" w:val="clear"/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宋体" w:cs="Times New Roman"/>
                <w:lang w:val="en-US" w:eastAsia="zh-CN" w:bidi="ar-SA"/>
              </w:rPr>
            </w:pPr>
            <w:r>
              <w:rPr>
                <w:rFonts w:ascii="宋体" w:hAnsi="宋体" w:cs="Times New Roman"/>
                <w:sz w:val="21"/>
                <w:lang w:val="en-US" w:eastAsia="zh-CN" w:bidi="ar-SA"/>
              </w:rPr>
              <w:t>序列、结构、功能知识</w:t>
            </w:r>
          </w:p>
        </w:tc>
        <w:tc>
          <w:tcPr>
            <w:tcW w:w="2126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shd w:fill="F2F6FA" w:val="clear"/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Times New Roman" w:hAnsi="Times New Roman" w:eastAsia="宋体" w:cs="Times New Roman"/>
                <w:lang w:val="en-US" w:eastAsia="zh-CN" w:bidi="ar-SA"/>
              </w:rPr>
            </w:pPr>
            <w:r>
              <w:rPr>
                <w:rFonts w:ascii="宋体" w:hAnsi="宋体" w:cs="Times New Roman"/>
                <w:sz w:val="21"/>
                <w:lang w:val="en-US" w:eastAsia="zh-CN" w:bidi="ar-SA"/>
              </w:rPr>
              <w:t>表示学习、比对、评价</w:t>
            </w:r>
          </w:p>
        </w:tc>
        <w:tc>
          <w:tcPr>
            <w:tcW w:w="2127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shd w:fill="F2F6FA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宋体" w:cs="Times New Roman"/>
                <w:lang w:val="en-US" w:eastAsia="zh-CN" w:bidi="ar-SA"/>
              </w:rPr>
            </w:pPr>
            <w:r>
              <w:rPr>
                <w:rFonts w:ascii="宋体" w:hAnsi="宋体" w:cs="Times New Roman"/>
                <w:sz w:val="21"/>
                <w:lang w:val="en-US" w:eastAsia="zh-CN" w:bidi="ar-SA"/>
              </w:rPr>
              <w:t>置信度、候选结构</w:t>
            </w:r>
          </w:p>
        </w:tc>
      </w:tr>
    </w:tbl>
    <w:p>
      <w:pPr>
        <w:pStyle w:val="Normal"/>
        <w:spacing w:before="80" w:after="160"/>
        <w:jc w:val="center"/>
        <w:rPr/>
      </w:pPr>
      <w:r>
        <w:rPr>
          <w:rFonts w:ascii="宋体" w:hAnsi="宋体"/>
          <w:sz w:val="21"/>
        </w:rPr>
        <w:t>表</w:t>
      </w:r>
      <w:r>
        <w:rPr>
          <w:rFonts w:eastAsia="宋体" w:ascii="宋体" w:hAnsi="宋体"/>
          <w:sz w:val="21"/>
        </w:rPr>
        <w:t xml:space="preserve">1  </w:t>
      </w:r>
      <w:r>
        <w:rPr>
          <w:rFonts w:ascii="宋体" w:hAnsi="宋体"/>
          <w:sz w:val="21"/>
        </w:rPr>
        <w:t>四类技术在</w:t>
      </w:r>
      <w:r>
        <w:rPr>
          <w:rFonts w:eastAsia="宋体" w:ascii="宋体" w:hAnsi="宋体"/>
          <w:sz w:val="21"/>
        </w:rPr>
        <w:t>AlphaFold</w:t>
      </w:r>
      <w:r>
        <w:rPr>
          <w:rFonts w:ascii="宋体" w:hAnsi="宋体"/>
          <w:sz w:val="21"/>
        </w:rPr>
        <w:t>协同系统中的职责分工</w:t>
      </w:r>
      <w:r>
        <w:br w:type="page"/>
      </w:r>
    </w:p>
    <w:p>
      <w:pPr>
        <w:pStyle w:val="Heading1"/>
        <w:keepNext w:val="true"/>
        <w:rPr/>
      </w:pPr>
      <w:r>
        <w:rPr>
          <w:rFonts w:ascii="黑体" w:hAnsi="黑体"/>
          <w:b/>
          <w:sz w:val="36"/>
        </w:rPr>
        <w:t>第</w:t>
      </w:r>
      <w:r>
        <w:rPr>
          <w:rFonts w:eastAsia="黑体" w:ascii="黑体" w:hAnsi="黑体"/>
          <w:b/>
          <w:sz w:val="36"/>
        </w:rPr>
        <w:t>4</w:t>
      </w:r>
      <w:r>
        <w:rPr>
          <w:rFonts w:ascii="黑体" w:hAnsi="黑体"/>
          <w:b/>
          <w:sz w:val="36"/>
        </w:rPr>
        <w:t>章 四类技术的协同应用</w:t>
      </w:r>
    </w:p>
    <w:p>
      <w:pPr>
        <w:pStyle w:val="Normal"/>
        <w:widowControl/>
        <w:spacing w:lineRule="auto" w:line="360" w:before="0" w:after="120"/>
        <w:ind w:firstLine="420"/>
        <w:rPr/>
      </w:pPr>
      <w:r>
        <w:rPr>
          <w:rFonts w:ascii="宋体" w:hAnsi="宋体"/>
          <w:sz w:val="24"/>
        </w:rPr>
        <w:t>协同的第一层是资源协同。大数据平台根据任务规模和优先级生成计算作业，计算机系统据此分配</w:t>
      </w:r>
      <w:r>
        <w:rPr>
          <w:rFonts w:eastAsia="宋体" w:ascii="宋体" w:hAnsi="宋体"/>
          <w:sz w:val="24"/>
        </w:rPr>
        <w:t>GPU</w:t>
      </w:r>
      <w:r>
        <w:rPr>
          <w:rFonts w:ascii="宋体" w:hAnsi="宋体"/>
          <w:sz w:val="24"/>
        </w:rPr>
        <w:t>、</w:t>
      </w:r>
      <w:r>
        <w:rPr>
          <w:rFonts w:eastAsia="宋体" w:ascii="宋体" w:hAnsi="宋体"/>
          <w:sz w:val="24"/>
        </w:rPr>
        <w:t>CPU</w:t>
      </w:r>
      <w:r>
        <w:rPr>
          <w:rFonts w:ascii="宋体" w:hAnsi="宋体"/>
          <w:sz w:val="24"/>
        </w:rPr>
        <w:t>和存储；物联网实验产生的高频日志则在边缘侧聚合，避免无效数据占用核心网络。通过统一的任务</w:t>
      </w:r>
      <w:r>
        <w:rPr>
          <w:rFonts w:eastAsia="宋体" w:ascii="宋体" w:hAnsi="宋体"/>
          <w:sz w:val="24"/>
        </w:rPr>
        <w:t>ID</w:t>
      </w:r>
      <w:r>
        <w:rPr>
          <w:rFonts w:ascii="宋体" w:hAnsi="宋体"/>
          <w:sz w:val="24"/>
        </w:rPr>
        <w:t>，序列、模型、算力和实验记录可以在同一条链路中关联。</w:t>
      </w:r>
    </w:p>
    <w:p>
      <w:pPr>
        <w:pStyle w:val="Normal"/>
        <w:widowControl/>
        <w:spacing w:lineRule="auto" w:line="360" w:before="0" w:after="120"/>
        <w:ind w:firstLine="420"/>
        <w:rPr/>
      </w:pPr>
      <w:r>
        <w:rPr>
          <w:rFonts w:ascii="宋体" w:hAnsi="宋体"/>
          <w:sz w:val="24"/>
        </w:rPr>
        <w:t>协同的第二层是模型—实验闭环。模型输出不仅包括坐标，还包括每个残基的置信度和可能的失败模式。应用层据此选择需要验证的区域，实验系统按照候选排序安排制样和测量；测量结果经质量控制后进入评估集，帮助识别模型在特定蛋白家族、膜蛋白或无序区域上的偏差。闭环把一次性预测转化为持续学习过程。</w:t>
      </w:r>
    </w:p>
    <w:p>
      <w:pPr>
        <w:pStyle w:val="Normal"/>
        <w:widowControl/>
        <w:spacing w:lineRule="auto" w:line="360" w:before="0" w:after="120"/>
        <w:ind w:firstLine="420"/>
        <w:rPr/>
      </w:pPr>
      <w:r>
        <w:rPr>
          <w:rFonts w:ascii="宋体" w:hAnsi="宋体"/>
          <w:sz w:val="24"/>
        </w:rPr>
        <w:t>协同的第三层是知识协同。结构数据库、实验记录和文献抽取结果可以形成面向研究人员的知识图谱：节点表示序列、结构、变体、配体和实验，边表示同源、相互作用、证据和时间。检索系统先从图谱中召回相关证据，再调用模型进行局部重预测或结构比较，减少盲目试验。</w:t>
      </w:r>
    </w:p>
    <w:p>
      <w:pPr>
        <w:pStyle w:val="Normal"/>
        <w:widowControl/>
        <w:spacing w:lineRule="auto" w:line="360" w:before="0" w:after="120"/>
        <w:ind w:firstLine="420"/>
        <w:rPr/>
      </w:pPr>
      <w:r>
        <w:rPr>
          <w:rFonts w:ascii="宋体" w:hAnsi="宋体"/>
          <w:sz w:val="24"/>
        </w:rPr>
        <w:t>协同还体现在可靠性设计上。对关键任务采用双模型或重复推理估计结果稳定性；对实验设备采用心跳、校准和异常阈值；对数据采用版本冻结、权限分级和审计；对服务采用灰度发布和可回滚镜像。这样既能发挥自动化的效率，又保留人工复核和责任追踪的入口。</w:t>
      </w:r>
      <w:r>
        <w:br w:type="page"/>
      </w:r>
    </w:p>
    <w:p>
      <w:pPr>
        <w:pStyle w:val="Heading1"/>
        <w:keepNext w:val="true"/>
        <w:rPr/>
      </w:pPr>
      <w:r>
        <w:rPr>
          <w:rFonts w:ascii="黑体" w:hAnsi="黑体"/>
          <w:b/>
          <w:sz w:val="36"/>
        </w:rPr>
        <w:t>第</w:t>
      </w:r>
      <w:r>
        <w:rPr>
          <w:rFonts w:eastAsia="黑体" w:ascii="黑体" w:hAnsi="黑体"/>
          <w:b/>
          <w:sz w:val="36"/>
        </w:rPr>
        <w:t>5</w:t>
      </w:r>
      <w:r>
        <w:rPr>
          <w:rFonts w:ascii="黑体" w:hAnsi="黑体"/>
          <w:b/>
          <w:sz w:val="36"/>
        </w:rPr>
        <w:t>章 工程挑战与个人思考</w:t>
      </w:r>
    </w:p>
    <w:p>
      <w:pPr>
        <w:pStyle w:val="Normal"/>
        <w:widowControl/>
        <w:spacing w:lineRule="auto" w:line="360" w:before="0" w:after="120"/>
        <w:ind w:firstLine="420"/>
        <w:rPr/>
      </w:pPr>
      <w:r>
        <w:rPr>
          <w:rFonts w:ascii="宋体" w:hAnsi="宋体"/>
          <w:sz w:val="24"/>
        </w:rPr>
        <w:t>第一，数据偏差会被模型放大。公共结构数据库中的蛋白家族、物种和实验条件分布并不均衡，训练集划分不当还可能造成同源泄漏。改进方向是建立面向任务的分层抽样、时间切分和外部测试集，并把数据质量分数作为模型评估的一部分。</w:t>
      </w:r>
    </w:p>
    <w:p>
      <w:pPr>
        <w:pStyle w:val="Normal"/>
        <w:widowControl/>
        <w:spacing w:lineRule="auto" w:line="360" w:before="0" w:after="120"/>
        <w:ind w:firstLine="420"/>
        <w:rPr/>
      </w:pPr>
      <w:r>
        <w:rPr>
          <w:rFonts w:ascii="宋体" w:hAnsi="宋体"/>
          <w:sz w:val="24"/>
        </w:rPr>
        <w:t>第二，算力和能耗约束日益突出。大模型训练需要昂贵的</w:t>
      </w:r>
      <w:r>
        <w:rPr>
          <w:rFonts w:eastAsia="宋体" w:ascii="宋体" w:hAnsi="宋体"/>
          <w:sz w:val="24"/>
        </w:rPr>
        <w:t>GPU</w:t>
      </w:r>
      <w:r>
        <w:rPr>
          <w:rFonts w:ascii="宋体" w:hAnsi="宋体"/>
          <w:sz w:val="24"/>
        </w:rPr>
        <w:t>集群，科研机构很难长期承担峰值资源。可以通过蒸馏、参数高效微调、稀疏注意力、缓存同源搜索结果和按需推理降低成本；对课程项目而言，应优先掌握基准测试和资源估算，而不是简单追求更大的模型。</w:t>
      </w:r>
    </w:p>
    <w:p>
      <w:pPr>
        <w:pStyle w:val="Normal"/>
        <w:widowControl/>
        <w:spacing w:lineRule="auto" w:line="360" w:before="0" w:after="120"/>
        <w:ind w:firstLine="420"/>
        <w:rPr/>
      </w:pPr>
      <w:r>
        <w:rPr>
          <w:rFonts w:ascii="宋体" w:hAnsi="宋体"/>
          <w:sz w:val="24"/>
        </w:rPr>
        <w:t>第三，预测置信度不是实验真值。</w:t>
      </w:r>
      <w:r>
        <w:rPr>
          <w:rFonts w:eastAsia="宋体" w:ascii="宋体" w:hAnsi="宋体"/>
          <w:sz w:val="24"/>
        </w:rPr>
        <w:t>pLDDT</w:t>
      </w:r>
      <w:r>
        <w:rPr>
          <w:rFonts w:ascii="宋体" w:hAnsi="宋体"/>
          <w:sz w:val="24"/>
        </w:rPr>
        <w:t>和</w:t>
      </w:r>
      <w:r>
        <w:rPr>
          <w:rFonts w:eastAsia="宋体" w:ascii="宋体" w:hAnsi="宋体"/>
          <w:sz w:val="24"/>
        </w:rPr>
        <w:t>PAE</w:t>
      </w:r>
      <w:r>
        <w:rPr>
          <w:rFonts w:ascii="宋体" w:hAnsi="宋体"/>
          <w:sz w:val="24"/>
        </w:rPr>
        <w:t>能够提示模型内部的不确定性，却不能替代结合实验条件的功能验证。报告和数据库应同时展示预测、证据和限制，明确哪些结论可以直接使用，哪些只适合作为假设。</w:t>
      </w:r>
    </w:p>
    <w:p>
      <w:pPr>
        <w:pStyle w:val="Normal"/>
        <w:widowControl/>
        <w:spacing w:lineRule="auto" w:line="360" w:before="0" w:after="120"/>
        <w:ind w:firstLine="420"/>
        <w:rPr/>
      </w:pPr>
      <w:r>
        <w:rPr>
          <w:rFonts w:ascii="宋体" w:hAnsi="宋体"/>
          <w:sz w:val="24"/>
        </w:rPr>
        <w:t>第四，隐私与合规不能被忽略。临床样本、专利序列和合作方数据可能具有敏感性，系统要遵循最小权限、脱敏、加密和留痕原则。对于跨机构协作，可探索联邦学习或只共享派生特征的方式，但必须评估其对模型性能和可解释性的影响。</w:t>
      </w:r>
    </w:p>
    <w:p>
      <w:pPr>
        <w:pStyle w:val="Normal"/>
        <w:widowControl/>
        <w:spacing w:lineRule="auto" w:line="360" w:before="0" w:after="120"/>
        <w:ind w:firstLine="420"/>
        <w:rPr/>
      </w:pPr>
      <w:r>
        <w:rPr>
          <w:rFonts w:ascii="宋体" w:hAnsi="宋体"/>
          <w:sz w:val="24"/>
        </w:rPr>
        <w:t>通过本次分析，我对“计算机系统服务科学问题”的理解更加具体：算法指标只是结果的一部分，数据版本、资源调度、实验接口和失败记录同样决定科研价值。未来若实现一个小型原型，我会先搭建可追溯的数据目录和任务流水线，再接入轻量模型与模拟实验，最后用一组可重复的基准任务评价端到端性能。</w:t>
      </w:r>
      <w:r>
        <w:br w:type="page"/>
      </w:r>
    </w:p>
    <w:p>
      <w:pPr>
        <w:pStyle w:val="Heading1"/>
        <w:keepNext w:val="true"/>
        <w:rPr/>
      </w:pPr>
      <w:r>
        <w:rPr>
          <w:rFonts w:ascii="黑体" w:hAnsi="黑体"/>
          <w:b/>
          <w:sz w:val="36"/>
        </w:rPr>
        <w:t>第</w:t>
      </w:r>
      <w:r>
        <w:rPr>
          <w:rFonts w:eastAsia="黑体" w:ascii="黑体" w:hAnsi="黑体"/>
          <w:b/>
          <w:sz w:val="36"/>
        </w:rPr>
        <w:t>6</w:t>
      </w:r>
      <w:r>
        <w:rPr>
          <w:rFonts w:ascii="黑体" w:hAnsi="黑体"/>
          <w:b/>
          <w:sz w:val="36"/>
        </w:rPr>
        <w:t>章 结  论</w:t>
      </w:r>
    </w:p>
    <w:p>
      <w:pPr>
        <w:pStyle w:val="Normal"/>
        <w:widowControl/>
        <w:spacing w:lineRule="auto" w:line="360" w:before="0" w:after="120"/>
        <w:ind w:firstLine="420"/>
        <w:rPr/>
      </w:pPr>
      <w:r>
        <w:rPr>
          <w:rFonts w:eastAsia="宋体" w:ascii="宋体" w:hAnsi="宋体"/>
          <w:sz w:val="24"/>
        </w:rPr>
        <w:t>AlphaFold</w:t>
      </w:r>
      <w:r>
        <w:rPr>
          <w:rFonts w:ascii="宋体" w:hAnsi="宋体"/>
          <w:sz w:val="24"/>
        </w:rPr>
        <w:t>把蛋白质结构预测推进到大规模、可服务化的阶段，但其成功依赖完整的工程生态。计算机系统提供异构算力和可靠服务，大数据保证训练与实验资料可治理、可追溯，物联网把真实实验转化为连续数据流，生物计算则负责建立序列—结构—功能之间的知识表示。四类技术通过统一任务标识、数据血缘和模型—实验闭环形成协同，最终支持从序列输入、结构预测到实验验证和知识更新的全流程。</w:t>
      </w:r>
    </w:p>
    <w:p>
      <w:pPr>
        <w:pStyle w:val="Normal"/>
        <w:widowControl/>
        <w:spacing w:lineRule="auto" w:line="360" w:before="0" w:after="120"/>
        <w:ind w:firstLine="420"/>
        <w:rPr/>
      </w:pPr>
      <w:r>
        <w:rPr>
          <w:rFonts w:ascii="宋体" w:hAnsi="宋体"/>
          <w:sz w:val="24"/>
        </w:rPr>
        <w:t>面向未来，系统应在效率、可信度和开放性之间取得平衡：以分层数据和标准接口降低协作门槛，以不确定性量化和实验复核提升结论可信度，以节能计算和合规治理保障可持续运行。对计算机专业学生而言，理解这种跨学科系统的边界、接口和评价方法，比记忆某个模型结构更能迁移到真实工程问题中。</w:t>
      </w:r>
      <w:r>
        <w:br w:type="page"/>
      </w:r>
    </w:p>
    <w:p>
      <w:pPr>
        <w:pStyle w:val="Heading1"/>
        <w:keepNext w:val="true"/>
        <w:spacing w:before="240" w:after="192"/>
        <w:rPr/>
      </w:pPr>
      <w:r>
        <w:rPr/>
        <w:t>参考文献</w:t>
      </w:r>
    </w:p>
    <w:p>
      <w:pPr>
        <w:pStyle w:val="NormalIndent"/>
        <w:spacing w:before="0" w:after="120"/>
        <w:ind w:hanging="0" w:start="420"/>
        <w:rPr/>
      </w:pPr>
      <w:r>
        <w:rPr>
          <w:rFonts w:eastAsia="宋体" w:ascii="宋体" w:hAnsi="宋体"/>
          <w:sz w:val="22"/>
        </w:rPr>
        <w:t>[1] Jumper J, Evans R, Pritzel A, et al. Highly accurate protein structure prediction with AlphaFold[J]. Nature, 2021, 596: 583-589.</w:t>
      </w:r>
    </w:p>
    <w:p>
      <w:pPr>
        <w:pStyle w:val="NormalIndent"/>
        <w:spacing w:before="0" w:after="120"/>
        <w:ind w:hanging="0" w:start="420"/>
        <w:rPr/>
      </w:pPr>
      <w:r>
        <w:rPr>
          <w:rFonts w:eastAsia="宋体" w:ascii="宋体" w:hAnsi="宋体"/>
          <w:sz w:val="22"/>
        </w:rPr>
        <w:t>[2] Varadi M, Anyinyi F, Deshpande M, et al. AlphaFold Protein Structure Database: massively expanding the structural coverage of protein-sequence space[J]. Nucleic Acids Research, 2022, 50(D1): D439-D444.</w:t>
      </w:r>
    </w:p>
    <w:p>
      <w:pPr>
        <w:pStyle w:val="NormalIndent"/>
        <w:spacing w:before="0" w:after="120"/>
        <w:ind w:hanging="0" w:start="420"/>
        <w:rPr/>
      </w:pPr>
      <w:r>
        <w:rPr>
          <w:rFonts w:eastAsia="宋体" w:ascii="宋体" w:hAnsi="宋体"/>
          <w:sz w:val="22"/>
        </w:rPr>
        <w:t>[3] Senior A W, Evans R, Jumper J, et al. Improved protein structure prediction using potentials from deep learning[J]. Nature, 2020, 577: 706-710.</w:t>
      </w:r>
    </w:p>
    <w:p>
      <w:pPr>
        <w:pStyle w:val="NormalIndent"/>
        <w:spacing w:before="0" w:after="120"/>
        <w:ind w:hanging="0" w:start="420"/>
        <w:rPr/>
      </w:pPr>
      <w:r>
        <w:rPr>
          <w:rFonts w:eastAsia="宋体" w:ascii="宋体" w:hAnsi="宋体"/>
          <w:sz w:val="22"/>
        </w:rPr>
        <w:t>[4] Hassabis D, Jumper J, et al. AlphaFold 3 predicts the structure and interactions of all life’s molecules[J]. Nature, 2024, 630: 493-500.</w:t>
      </w:r>
    </w:p>
    <w:p>
      <w:pPr>
        <w:pStyle w:val="NormalIndent"/>
        <w:spacing w:before="0" w:after="120"/>
        <w:ind w:hanging="0" w:start="420"/>
        <w:rPr/>
      </w:pPr>
      <w:r>
        <w:rPr>
          <w:rFonts w:eastAsia="宋体" w:ascii="宋体" w:hAnsi="宋体"/>
          <w:sz w:val="22"/>
        </w:rPr>
        <w:t>[5] DeepMind. AlphaFold: a solution to a 50-year-old grand challenge in biology[EB/OL]. 2020. https://deepmind.google/discover/blog/alphafold/ .</w:t>
      </w:r>
    </w:p>
    <w:p>
      <w:pPr>
        <w:pStyle w:val="NormalIndent"/>
        <w:spacing w:before="0" w:after="120"/>
        <w:ind w:hanging="0" w:start="420"/>
        <w:rPr/>
      </w:pPr>
      <w:r>
        <w:rPr>
          <w:rFonts w:eastAsia="宋体" w:ascii="宋体" w:hAnsi="宋体"/>
          <w:sz w:val="22"/>
        </w:rPr>
        <w:t xml:space="preserve">[6] </w:t>
      </w:r>
      <w:r>
        <w:rPr>
          <w:rFonts w:ascii="宋体" w:hAnsi="宋体"/>
          <w:sz w:val="22"/>
        </w:rPr>
        <w:t>中国科学院</w:t>
      </w:r>
      <w:r>
        <w:rPr>
          <w:rFonts w:eastAsia="宋体" w:ascii="宋体" w:hAnsi="宋体"/>
          <w:sz w:val="22"/>
        </w:rPr>
        <w:t xml:space="preserve">. </w:t>
      </w:r>
      <w:r>
        <w:rPr>
          <w:rFonts w:ascii="宋体" w:hAnsi="宋体"/>
          <w:sz w:val="22"/>
        </w:rPr>
        <w:t>蛋白质结构预测与人工智能交叉研究进展</w:t>
      </w:r>
      <w:r>
        <w:rPr>
          <w:rFonts w:eastAsia="宋体" w:ascii="宋体" w:hAnsi="宋体"/>
          <w:sz w:val="22"/>
        </w:rPr>
        <w:t xml:space="preserve">[R]. </w:t>
      </w:r>
      <w:r>
        <w:rPr>
          <w:rFonts w:ascii="宋体" w:hAnsi="宋体"/>
          <w:sz w:val="22"/>
        </w:rPr>
        <w:t>北京</w:t>
      </w:r>
      <w:r>
        <w:rPr>
          <w:rFonts w:eastAsia="宋体" w:ascii="宋体" w:hAnsi="宋体"/>
          <w:sz w:val="22"/>
        </w:rPr>
        <w:t xml:space="preserve">: </w:t>
      </w:r>
      <w:r>
        <w:rPr>
          <w:rFonts w:ascii="宋体" w:hAnsi="宋体"/>
          <w:sz w:val="22"/>
        </w:rPr>
        <w:t>中国科学院文献情报中心</w:t>
      </w:r>
      <w:r>
        <w:rPr>
          <w:rFonts w:eastAsia="宋体" w:ascii="宋体" w:hAnsi="宋体"/>
          <w:sz w:val="22"/>
        </w:rPr>
        <w:t>, 2023.</w:t>
      </w:r>
    </w:p>
    <w:sectPr>
      <w:headerReference w:type="even" r:id="rId16"/>
      <w:headerReference w:type="default" r:id="rId17"/>
      <w:headerReference w:type="first" r:id="rId18"/>
      <w:footerReference w:type="even" r:id="rId19"/>
      <w:footerReference w:type="default" r:id="rId20"/>
      <w:footerReference w:type="first" r:id="rId21"/>
      <w:type w:val="nextPage"/>
      <w:pgSz w:w="11906" w:h="16838"/>
      <w:pgMar w:left="1701" w:right="1701" w:gutter="0" w:header="1516" w:top="1928" w:footer="1304" w:bottom="1871"/>
      <w:pgNumType w:start="1" w:fmt="decimal"/>
      <w:formProt w:val="false"/>
      <w:textDirection w:val="lrTb"/>
      <w:docGrid w:type="default" w:linePitch="391" w:charSpace="184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宋体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ahoma">
    <w:charset w:val="01"/>
    <w:family w:val="swiss"/>
    <w:pitch w:val="variable"/>
  </w:font>
  <w:font w:name="Calibri Light">
    <w:charset w:val="01"/>
    <w:family w:val="swiss"/>
    <w:pitch w:val="variable"/>
  </w:font>
  <w:font w:name="Calibri">
    <w:charset w:val="01"/>
    <w:family w:val="swiss"/>
    <w:pitch w:val="variable"/>
  </w:font>
  <w:font w:name="黑体">
    <w:charset w:val="01"/>
    <w:family w:val="roman"/>
    <w:pitch w:val="variable"/>
  </w:font>
  <w:font w:name="微软雅黑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4153"/>
        <w:tab w:val="clear" w:pos="8306"/>
        <w:tab w:val="center" w:pos="4252" w:leader="none"/>
      </w:tabs>
      <w:spacing w:before="240" w:after="0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4153"/>
        <w:tab w:val="clear" w:pos="8306"/>
        <w:tab w:val="center" w:pos="4252" w:leader="none"/>
      </w:tabs>
      <w:spacing w:before="240" w:after="0"/>
      <w:rPr/>
    </w:pPr>
    <w:r>
      <w:rPr/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240" w:after="0"/>
      <w:jc w:val="center"/>
      <w:rPr/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</w:rPr>
      <w:t>II</w:t>
    </w:r>
    <w:r>
      <w:rPr>
        <w:rStyle w:val="PageNumber"/>
      </w:rPr>
      <w:fldChar w:fldCharType="end"/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240" w:after="0"/>
      <w:jc w:val="center"/>
      <w:rPr/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</w:rPr>
      <w:t>II</w:t>
    </w:r>
    <w:r>
      <w:rPr>
        <w:rStyle w:val="PageNumber"/>
      </w:rPr>
      <w:fldChar w:fldCharType="end"/>
    </w:r>
  </w:p>
</w:ftr>
</file>

<file path=word/footer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240" w:after="0"/>
      <w:ind w:firstLine="360" w:end="360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10</w:t>
    </w:r>
    <w:r>
      <w:rPr/>
      <w:fldChar w:fldCharType="end"/>
    </w:r>
  </w:p>
</w:ftr>
</file>

<file path=word/footer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240" w:after="0"/>
      <w:ind w:firstLine="360" w:end="360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10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thinThickSmallGap" w:sz="24" w:space="0" w:color="000000"/>
      </w:pBdr>
      <w:spacing w:before="240" w:after="0"/>
      <w:ind w:endChars="19"/>
      <w:rPr/>
    </w:pPr>
    <w:r>
      <w:rPr>
        <w:rFonts w:hint="eastAsia"/>
      </w:rPr>
      <w:t>计算机科学与技术导论课程报告</w:t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thinThickSmallGap" w:sz="24" w:space="0" w:color="000000"/>
      </w:pBdr>
      <w:spacing w:before="240" w:after="0"/>
      <w:ind w:endChars="19"/>
      <w:rPr/>
    </w:pPr>
    <w:r>
      <w:rPr>
        <w:rFonts w:hint="eastAsia"/>
      </w:rPr>
      <w:t>计算机科学与技术导论课程报告</w:t>
    </w:r>
  </w:p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thinThickSmallGap" w:sz="24" w:space="0" w:color="000000"/>
      </w:pBdr>
      <w:spacing w:before="240" w:after="0"/>
      <w:ind w:endChars="19"/>
      <w:rPr/>
    </w:pPr>
    <w:r>
      <w:rPr>
        <w:rFonts w:hint="eastAsia"/>
      </w:rPr>
      <w:t>计算机科学与技术导论课程报告</w:t>
    </w:r>
  </w:p>
</w:hdr>
</file>

<file path=word/header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thinThickSmallGap" w:sz="24" w:space="0" w:color="000000"/>
      </w:pBdr>
      <w:spacing w:before="240" w:after="0"/>
      <w:ind w:endChars="19"/>
      <w:rPr/>
    </w:pPr>
    <w:bookmarkStart w:id="4" w:name="OLE_LINK55_Copy_4"/>
    <w:r>
      <w:rPr>
        <w:rFonts w:hint="eastAsia"/>
      </w:rPr>
      <w:t>计算机科学与技术导论课程报告</w:t>
    </w:r>
    <w:bookmarkEnd w:id="4"/>
  </w:p>
</w:hdr>
</file>

<file path=word/header8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thinThickSmallGap" w:sz="24" w:space="0" w:color="000000"/>
      </w:pBdr>
      <w:spacing w:before="240" w:after="0"/>
      <w:ind w:endChars="19"/>
      <w:rPr/>
    </w:pPr>
    <w:r>
      <w:rPr>
        <w:rFonts w:hint="eastAsia"/>
      </w:rPr>
      <w:t>计算机科学与技术导论课程报告</w:t>
    </w:r>
  </w:p>
</w:hdr>
</file>

<file path=word/header9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thinThickSmallGap" w:sz="24" w:space="0" w:color="000000"/>
      </w:pBdr>
      <w:spacing w:before="240" w:after="0"/>
      <w:ind w:endChars="19"/>
      <w:rPr/>
    </w:pPr>
    <w:r>
      <w:rPr>
        <w:rFonts w:hint="eastAsia"/>
      </w:rPr>
      <w:t>计算机科学与技术导论课程报告</w:t>
    </w:r>
  </w:p>
</w:hdr>
</file>

<file path=word/settings.xml><?xml version="1.0" encoding="utf-8"?>
<w:settings xmlns:w="http://schemas.openxmlformats.org/wordprocessingml/2006/main">
  <w:zoom w:percent="100"/>
  <w:stylePaneFormatFilter w:val="3F01" w:allStyles="1" w:customStyles="0" w:latentStyles="0" w:stylesInUse="0" w:headingStyles="0" w:numberingStyles="0" w:tableStyles="0" w:visibleStyles="0"/>
  <w:defaultTabStop w:val="420"/>
  <w:autoHyphenation w:val="true"/>
  <w:hyphenationZone w:val="0"/>
  <w:compat>
    <w:balanceSingleByteDoubleByteWidth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宋体" w:cs="Times New Roman"/>
        <w:lang w:val="en-US" w:eastAsia="zh-CN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toc 4" w:semiHidden="1" w:qFormat="1"/>
    <w:lsdException w:name="toc 5" w:semiHidden="1"/>
    <w:lsdException w:name="toc 6" w:semiHidden="1"/>
    <w:lsdException w:name="toc 7" w:semiHidden="1"/>
    <w:lsdException w:name="toc 8" w:semiHidden="1"/>
    <w:lsdException w:name="toc 9" w:semiHidden="1"/>
    <w:lsdException w:name="footer" w:qFormat="1"/>
    <w:lsdException w:name="caption" w:qFormat="1"/>
    <w:lsdException w:name="Title" w:qFormat="1"/>
    <w:lsdException w:name="Default Paragraph Font" w:uiPriority="1" w:semiHidden="1" w:unhideWhenUsed="1"/>
    <w:lsdException w:name="Subtitle" w:qFormat="1"/>
    <w:lsdException w:name="Hyperlink" w:uiPriority="99"/>
    <w:lsdException w:name="Strong" w:qFormat="1"/>
    <w:lsdException w:name="Emphasis" w:uiPriority="20" w:qFormat="1"/>
    <w:lsdException w:name="Document Map" w:semiHidden="1"/>
    <w:lsdException w:name="HTML Top of Form" w:uiPriority="99" w:semiHidden="1" w:unhideWhenUsed="1"/>
    <w:lsdException w:name="HTML Bottom of Form" w:uiPriority="99" w:semiHidden="1" w:unhideWhenUsed="1"/>
    <w:lsdException w:name="Normal Table" w:uiPriority="99" w:semiHidden="1" w:unhideWhenUsed="1"/>
    <w:lsdException w:name="No List" w:uiPriority="99" w:semiHidden="1" w:unhideWhenUsed="1"/>
    <w:lsdException w:name="Outline List 1" w:uiPriority="99" w:semiHidden="1" w:unhideWhenUsed="1"/>
    <w:lsdException w:name="Outline List 2" w:uiPriority="99" w:semiHidden="1" w:unhideWhenUsed="1"/>
    <w:lsdException w:name="Outline List 3" w:uiPriority="99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uiPriority="99" w:semiHidden="1"/>
    <w:lsdException w:name="No Spacing" w:uiPriority="99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 w:unhideWhenUsed="1"/>
    <w:lsdException w:name="List Paragraph" w:uiPriority="34" w:qFormat="1"/>
    <w:lsdException w:name="Quote" w:uiPriority="99" w:semiHidden="1" w:unhideWhenUsed="1"/>
    <w:lsdException w:name="Intense Quote" w:uiPriority="99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pPr>
      <w:widowControl w:val="false"/>
      <w:bidi w:val="0"/>
      <w:spacing w:lineRule="auto" w:line="300" w:before="0" w:after="0"/>
      <w:jc w:val="both"/>
    </w:pPr>
    <w:rPr>
      <w:rFonts w:ascii="Times New Roman" w:hAnsi="Times New Roman" w:eastAsia="宋体" w:cs="Times New Roman"/>
      <w:color w:val="auto"/>
      <w:kern w:val="2"/>
      <w:sz w:val="24"/>
      <w:szCs w:val="24"/>
      <w:lang w:val="en-US" w:eastAsia="zh-CN" w:bidi="ar-SA"/>
    </w:rPr>
  </w:style>
  <w:style w:type="paragraph" w:styleId="Heading1">
    <w:name w:val="heading 1"/>
    <w:basedOn w:val="Normal"/>
    <w:next w:val="Normal"/>
    <w:link w:val="1"/>
    <w:autoRedefine/>
    <w:qFormat/>
    <w:pPr>
      <w:spacing w:before="100" w:after="80"/>
      <w:jc w:val="center"/>
      <w:outlineLvl w:val="0"/>
    </w:pPr>
    <w:rPr>
      <w:rFonts w:eastAsia="黑体"/>
      <w:b/>
      <w:kern w:val="2"/>
      <w:sz w:val="36"/>
      <w:szCs w:val="36"/>
    </w:rPr>
  </w:style>
  <w:style w:type="paragraph" w:styleId="Heading2">
    <w:name w:val="heading 2"/>
    <w:basedOn w:val="Normal"/>
    <w:next w:val="Normal"/>
    <w:link w:val="2"/>
    <w:autoRedefine/>
    <w:qFormat/>
    <w:pPr>
      <w:snapToGrid w:val="false"/>
      <w:spacing w:before="206" w:after="206"/>
      <w:outlineLvl w:val="1"/>
    </w:pPr>
    <w:rPr>
      <w:rFonts w:eastAsia="黑体"/>
      <w:kern w:val="0"/>
      <w:sz w:val="30"/>
      <w:szCs w:val="30"/>
    </w:rPr>
  </w:style>
  <w:style w:type="paragraph" w:styleId="Heading3">
    <w:name w:val="heading 3"/>
    <w:basedOn w:val="Normal"/>
    <w:next w:val="Normal"/>
    <w:autoRedefine/>
    <w:qFormat/>
    <w:pPr>
      <w:snapToGrid w:val="false"/>
      <w:spacing w:before="206" w:after="206"/>
      <w:outlineLvl w:val="2"/>
    </w:pPr>
    <w:rPr>
      <w:rFonts w:eastAsia="黑体"/>
      <w:kern w:val="0"/>
      <w:sz w:val="28"/>
      <w:szCs w:val="28"/>
      <w:lang w:val="zh-CN"/>
    </w:rPr>
  </w:style>
  <w:style w:type="paragraph" w:styleId="Heading4">
    <w:name w:val="heading 4"/>
    <w:basedOn w:val="Normal"/>
    <w:next w:val="Normal"/>
    <w:qFormat/>
    <w:pPr>
      <w:jc w:val="start"/>
      <w:outlineLvl w:val="3"/>
    </w:pPr>
    <w:rPr>
      <w:sz w:val="28"/>
    </w:rPr>
  </w:style>
  <w:style w:type="character" w:styleId="DefaultParagraphFont" w:default="1">
    <w:name w:val="Default Paragraph Font"/>
    <w:uiPriority w:val="1"/>
    <w:semiHidden/>
    <w:unhideWhenUsed/>
    <w:rPr/>
  </w:style>
  <w:style w:type="character" w:styleId="Strong">
    <w:name w:val="Strong"/>
    <w:qFormat/>
    <w:rPr>
      <w:b/>
    </w:rPr>
  </w:style>
  <w:style w:type="character" w:styleId="PageNumber">
    <w:name w:val="page number"/>
    <w:basedOn w:val="DefaultParagraphFont"/>
    <w:rPr/>
  </w:style>
  <w:style w:type="character" w:styleId="Emphasis">
    <w:name w:val="Emphasis"/>
    <w:uiPriority w:val="20"/>
    <w:qFormat/>
    <w:rPr>
      <w:i/>
      <w:iCs/>
    </w:rPr>
  </w:style>
  <w:style w:type="character" w:styleId="Hyperlink">
    <w:name w:val="Hyperlink"/>
    <w:uiPriority w:val="99"/>
    <w:rPr>
      <w:color w:val="0000FF"/>
      <w:u w:val="single"/>
    </w:rPr>
  </w:style>
  <w:style w:type="character" w:styleId="CommentReference">
    <w:name w:val="annotation reference"/>
    <w:rPr>
      <w:sz w:val="21"/>
      <w:szCs w:val="21"/>
    </w:rPr>
  </w:style>
  <w:style w:type="character" w:styleId="MTDisplayEquationChar" w:customStyle="1">
    <w:name w:val="MTDisplayEquation Char"/>
    <w:link w:val="MTDisplayEquation"/>
    <w:rPr>
      <w:kern w:val="2"/>
      <w:sz w:val="24"/>
      <w:szCs w:val="24"/>
    </w:rPr>
  </w:style>
  <w:style w:type="character" w:styleId="MTEquationSectionChar" w:customStyle="1">
    <w:name w:val="MTEquationSection Char"/>
    <w:link w:val="MTEquationSection"/>
    <w:rPr>
      <w:rFonts w:eastAsia="隶书"/>
      <w:color w:val="FF0000"/>
      <w:spacing w:val="80"/>
      <w:kern w:val="2"/>
      <w:sz w:val="48"/>
      <w:szCs w:val="48"/>
    </w:rPr>
  </w:style>
  <w:style w:type="character" w:styleId="high-light-bg" w:customStyle="1">
    <w:name w:val="high-light-bg"/>
    <w:rPr/>
  </w:style>
  <w:style w:type="character" w:styleId="Style10" w:customStyle="1">
    <w:name w:val="批注文字 字符"/>
    <w:link w:val="CommentText"/>
    <w:rPr>
      <w:kern w:val="2"/>
      <w:sz w:val="24"/>
      <w:szCs w:val="24"/>
    </w:rPr>
  </w:style>
  <w:style w:type="character" w:styleId="Style11" w:customStyle="1">
    <w:name w:val="批注主题 字符"/>
    <w:link w:val="annotationsubject"/>
    <w:rPr>
      <w:b/>
      <w:bCs/>
      <w:kern w:val="2"/>
      <w:sz w:val="24"/>
      <w:szCs w:val="24"/>
    </w:rPr>
  </w:style>
  <w:style w:type="character" w:styleId="Style12" w:customStyle="1">
    <w:name w:val="纯文本 字符"/>
    <w:link w:val="PlainText"/>
    <w:rPr>
      <w:rFonts w:ascii="宋体" w:hAnsi="宋体"/>
      <w:kern w:val="2"/>
      <w:sz w:val="21"/>
    </w:rPr>
  </w:style>
  <w:style w:type="character" w:styleId="Char" w:customStyle="1">
    <w:name w:val="论文 Char"/>
    <w:link w:val="Style15"/>
    <w:rPr>
      <w:rFonts w:ascii="宋体" w:hAnsi="宋体"/>
      <w:kern w:val="2"/>
      <w:sz w:val="24"/>
      <w:szCs w:val="24"/>
    </w:rPr>
  </w:style>
  <w:style w:type="character" w:styleId="1Char" w:customStyle="1">
    <w:name w:val="样式1 Char"/>
    <w:link w:val="13"/>
    <w:rPr>
      <w:rFonts w:ascii="宋体" w:hAnsi="宋体"/>
      <w:kern w:val="2"/>
      <w:sz w:val="24"/>
      <w:szCs w:val="24"/>
    </w:rPr>
  </w:style>
  <w:style w:type="character" w:styleId="222Char" w:customStyle="1">
    <w:name w:val="样式222 Char"/>
    <w:link w:val="222"/>
    <w:rPr>
      <w:rFonts w:ascii="宋体" w:hAnsi="宋体"/>
      <w:kern w:val="2"/>
      <w:sz w:val="24"/>
      <w:szCs w:val="24"/>
    </w:rPr>
  </w:style>
  <w:style w:type="character" w:styleId="Char1" w:customStyle="1">
    <w:name w:val="数字字母 Char"/>
    <w:link w:val="Style16"/>
    <w:rPr>
      <w:rFonts w:ascii="宋体" w:hAnsi="宋体" w:eastAsia="Times New Roman"/>
      <w:kern w:val="2"/>
      <w:sz w:val="24"/>
      <w:szCs w:val="24"/>
    </w:rPr>
  </w:style>
  <w:style w:type="character" w:styleId="keywords-mean" w:customStyle="1">
    <w:name w:val="keywords-mean"/>
    <w:rPr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character" w:styleId="1" w:customStyle="1">
    <w:name w:val="标题 1 字符"/>
    <w:basedOn w:val="DefaultParagraphFont"/>
    <w:link w:val="Heading1"/>
    <w:rPr>
      <w:rFonts w:eastAsia="黑体"/>
      <w:b/>
      <w:kern w:val="2"/>
      <w:sz w:val="36"/>
      <w:szCs w:val="36"/>
    </w:rPr>
  </w:style>
  <w:style w:type="character" w:styleId="2" w:customStyle="1">
    <w:name w:val="标题 2 字符"/>
    <w:basedOn w:val="DefaultParagraphFont"/>
    <w:link w:val="Heading2"/>
    <w:rPr>
      <w:rFonts w:eastAsia="黑体"/>
      <w:sz w:val="30"/>
      <w:szCs w:val="30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Default"/>
    <w:next w:val="Default"/>
    <w:qFormat/>
    <w:pPr>
      <w:spacing w:before="152" w:after="160"/>
    </w:pPr>
    <w:rPr>
      <w:rFonts w:ascii="宋体" w:hAnsi="宋体"/>
      <w:color w:val="auto"/>
    </w:rPr>
  </w:style>
  <w:style w:type="paragraph" w:styleId="Index">
    <w:name w:val="Index"/>
    <w:basedOn w:val="Normal"/>
    <w:pPr>
      <w:suppressLineNumbers/>
    </w:pPr>
    <w:rPr>
      <w:rFonts w:cs="Noto Sans Devanagari"/>
    </w:rPr>
  </w:style>
  <w:style w:type="paragraph" w:styleId="TOC7">
    <w:name w:val="toc 7"/>
    <w:basedOn w:val="Normal"/>
    <w:next w:val="Normal"/>
    <w:autoRedefine/>
    <w:semiHidden/>
    <w:pPr>
      <w:ind w:start="1440"/>
      <w:jc w:val="start"/>
    </w:pPr>
    <w:rPr>
      <w:szCs w:val="21"/>
    </w:rPr>
  </w:style>
  <w:style w:type="paragraph" w:styleId="NormalIndent">
    <w:name w:val="Normal Indent"/>
    <w:basedOn w:val="Normal"/>
    <w:pPr>
      <w:ind w:firstLine="499"/>
    </w:pPr>
    <w:rPr>
      <w:szCs w:val="20"/>
    </w:rPr>
  </w:style>
  <w:style w:type="paragraph" w:styleId="Default" w:customStyle="1">
    <w:name w:val="Default"/>
    <w:pPr>
      <w:widowControl w:val="false"/>
      <w:bidi w:val="0"/>
      <w:spacing w:before="0" w:after="0"/>
      <w:jc w:val="start"/>
    </w:pPr>
    <w:rPr>
      <w:rFonts w:ascii="Times New Roman" w:hAnsi="Times New Roman" w:eastAsia="宋体" w:cs="Times New Roman"/>
      <w:color w:val="000000"/>
      <w:kern w:val="0"/>
      <w:sz w:val="24"/>
      <w:szCs w:val="24"/>
      <w:lang w:val="en-US" w:eastAsia="zh-CN" w:bidi="ar-SA"/>
    </w:rPr>
  </w:style>
  <w:style w:type="paragraph" w:styleId="DocumentMap">
    <w:name w:val="Document Map"/>
    <w:basedOn w:val="Normal"/>
    <w:semiHidden/>
    <w:pPr>
      <w:shd w:val="clear" w:color="auto" w:fill="000080"/>
    </w:pPr>
    <w:rPr/>
  </w:style>
  <w:style w:type="paragraph" w:styleId="CommentText">
    <w:name w:val="annotation text"/>
    <w:basedOn w:val="Normal"/>
    <w:link w:val="Style10"/>
    <w:pPr>
      <w:jc w:val="start"/>
    </w:pPr>
    <w:rPr/>
  </w:style>
  <w:style w:type="paragraph" w:styleId="BodyTextIndent">
    <w:name w:val="Body Text Indent"/>
    <w:basedOn w:val="Normal"/>
    <w:pPr>
      <w:spacing w:before="0" w:after="120"/>
      <w:ind w:startChars="200"/>
    </w:pPr>
    <w:rPr/>
  </w:style>
  <w:style w:type="paragraph" w:styleId="TOC5">
    <w:name w:val="toc 5"/>
    <w:basedOn w:val="Normal"/>
    <w:next w:val="Normal"/>
    <w:autoRedefine/>
    <w:semiHidden/>
    <w:pPr>
      <w:ind w:start="960"/>
      <w:jc w:val="start"/>
    </w:pPr>
    <w:rPr>
      <w:szCs w:val="21"/>
    </w:rPr>
  </w:style>
  <w:style w:type="paragraph" w:styleId="TOC3">
    <w:name w:val="toc 3"/>
    <w:basedOn w:val="Normal"/>
    <w:next w:val="Normal"/>
    <w:autoRedefine/>
    <w:uiPriority w:val="39"/>
    <w:pPr>
      <w:tabs>
        <w:tab w:val="clear" w:pos="420"/>
        <w:tab w:val="right" w:pos="8494" w:leader="dot"/>
      </w:tabs>
      <w:ind w:start="480"/>
      <w:jc w:val="start"/>
    </w:pPr>
    <w:rPr>
      <w:iCs/>
    </w:rPr>
  </w:style>
  <w:style w:type="paragraph" w:styleId="PlainText">
    <w:name w:val="Plain Text"/>
    <w:basedOn w:val="Normal"/>
    <w:link w:val="Style12"/>
    <w:pPr/>
    <w:rPr>
      <w:rFonts w:ascii="宋体" w:hAnsi="宋体"/>
      <w:sz w:val="21"/>
      <w:szCs w:val="20"/>
    </w:rPr>
  </w:style>
  <w:style w:type="paragraph" w:styleId="TOC8">
    <w:name w:val="toc 8"/>
    <w:basedOn w:val="Normal"/>
    <w:next w:val="Normal"/>
    <w:autoRedefine/>
    <w:semiHidden/>
    <w:pPr>
      <w:ind w:start="1680"/>
      <w:jc w:val="start"/>
    </w:pPr>
    <w:rPr>
      <w:szCs w:val="21"/>
    </w:rPr>
  </w:style>
  <w:style w:type="paragraph" w:styleId="Date">
    <w:name w:val="Date"/>
    <w:basedOn w:val="Normal"/>
    <w:next w:val="Normal"/>
    <w:pPr/>
    <w:rPr>
      <w:rFonts w:eastAsia="黑体"/>
      <w:szCs w:val="20"/>
    </w:rPr>
  </w:style>
  <w:style w:type="paragraph" w:styleId="BalloonText">
    <w:name w:val="Balloon Text"/>
    <w:basedOn w:val="Normal"/>
    <w:semiHidden/>
    <w:pPr/>
    <w:rPr>
      <w:sz w:val="18"/>
      <w:szCs w:val="18"/>
    </w:rPr>
  </w:style>
  <w:style w:type="paragraph" w:styleId="HeaderandFooter">
    <w:name w:val="Header and Footer"/>
    <w:basedOn w:val="Normal"/>
    <w:pPr/>
    <w:rPr/>
  </w:style>
  <w:style w:type="paragraph" w:styleId="Footer">
    <w:name w:val="footer"/>
    <w:basedOn w:val="Normal"/>
    <w:qFormat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TOC1">
    <w:name w:val="toc 1"/>
    <w:basedOn w:val="Normal"/>
    <w:next w:val="Normal"/>
    <w:autoRedefine/>
    <w:uiPriority w:val="39"/>
    <w:pPr>
      <w:tabs>
        <w:tab w:val="clear" w:pos="420"/>
        <w:tab w:val="right" w:pos="8494" w:leader="dot"/>
      </w:tabs>
      <w:spacing w:lineRule="auto" w:line="240" w:before="120" w:after="120"/>
      <w:jc w:val="start"/>
    </w:pPr>
    <w:rPr>
      <w:b/>
      <w:bCs/>
      <w:caps/>
    </w:rPr>
  </w:style>
  <w:style w:type="paragraph" w:styleId="TOC4">
    <w:name w:val="toc 4"/>
    <w:basedOn w:val="Normal"/>
    <w:next w:val="Normal"/>
    <w:autoRedefine/>
    <w:semiHidden/>
    <w:qFormat/>
    <w:pPr>
      <w:ind w:start="720"/>
      <w:jc w:val="start"/>
    </w:pPr>
    <w:rPr>
      <w:szCs w:val="21"/>
    </w:rPr>
  </w:style>
  <w:style w:type="paragraph" w:styleId="TOC6">
    <w:name w:val="toc 6"/>
    <w:basedOn w:val="Normal"/>
    <w:next w:val="Normal"/>
    <w:autoRedefine/>
    <w:semiHidden/>
    <w:pPr>
      <w:ind w:start="1200"/>
      <w:jc w:val="start"/>
    </w:pPr>
    <w:rPr>
      <w:szCs w:val="21"/>
    </w:rPr>
  </w:style>
  <w:style w:type="paragraph" w:styleId="TOC2">
    <w:name w:val="toc 2"/>
    <w:basedOn w:val="Normal"/>
    <w:next w:val="Normal"/>
    <w:autoRedefine/>
    <w:uiPriority w:val="39"/>
    <w:pPr>
      <w:ind w:start="240"/>
      <w:jc w:val="start"/>
    </w:pPr>
    <w:rPr>
      <w:smallCaps/>
    </w:rPr>
  </w:style>
  <w:style w:type="paragraph" w:styleId="TOC9">
    <w:name w:val="toc 9"/>
    <w:basedOn w:val="Normal"/>
    <w:next w:val="Normal"/>
    <w:autoRedefine/>
    <w:semiHidden/>
    <w:pPr>
      <w:ind w:start="1920"/>
      <w:jc w:val="start"/>
    </w:pPr>
    <w:rPr>
      <w:szCs w:val="21"/>
    </w:rPr>
  </w:style>
  <w:style w:type="paragraph" w:styleId="Title">
    <w:name w:val="Title"/>
    <w:next w:val="BodyTextFirstIndent"/>
    <w:qFormat/>
    <w:pPr>
      <w:keepLines/>
      <w:pageBreakBefore/>
      <w:widowControl w:val="false"/>
      <w:bidi w:val="0"/>
      <w:spacing w:before="240" w:after="120"/>
      <w:jc w:val="center"/>
      <w:outlineLvl w:val="0"/>
    </w:pPr>
    <w:rPr>
      <w:rFonts w:eastAsia="黑体" w:ascii="Times New Roman" w:hAnsi="Times New Roman" w:cs="Times New Roman"/>
      <w:b/>
      <w:color w:val="auto"/>
      <w:kern w:val="2"/>
      <w:sz w:val="36"/>
      <w:szCs w:val="20"/>
      <w:lang w:val="en-US" w:eastAsia="zh-CN" w:bidi="ar-SA"/>
    </w:rPr>
  </w:style>
  <w:style w:type="paragraph" w:styleId="BodyTextFirstIndent">
    <w:name w:val="Body Text First Indent"/>
    <w:basedOn w:val="Normal"/>
    <w:pPr>
      <w:ind w:firstLineChars="200"/>
    </w:pPr>
    <w:rPr>
      <w:szCs w:val="20"/>
    </w:rPr>
  </w:style>
  <w:style w:type="paragraph" w:styleId="annotationsubject">
    <w:name w:val="annotation subject"/>
    <w:basedOn w:val="CommentText"/>
    <w:next w:val="CommentText"/>
    <w:link w:val="Style11"/>
    <w:pPr/>
    <w:rPr>
      <w:b/>
      <w:bCs/>
    </w:rPr>
  </w:style>
  <w:style w:type="paragraph" w:styleId="CharCharCharChar" w:customStyle="1">
    <w:name w:val="Char Char Char Char"/>
    <w:basedOn w:val="Normal"/>
    <w:pPr/>
    <w:rPr>
      <w:rFonts w:ascii="Tahoma" w:hAnsi="Tahoma"/>
      <w:szCs w:val="20"/>
    </w:rPr>
  </w:style>
  <w:style w:type="paragraph" w:styleId="3" w:customStyle="1">
    <w:name w:val="样式3"/>
    <w:basedOn w:val="Normal"/>
    <w:pPr>
      <w:snapToGrid w:val="false"/>
      <w:spacing w:lineRule="auto" w:line="360"/>
      <w:jc w:val="center"/>
    </w:pPr>
    <w:rPr>
      <w:rFonts w:eastAsia="黑体"/>
      <w:sz w:val="36"/>
      <w:szCs w:val="36"/>
    </w:rPr>
  </w:style>
  <w:style w:type="paragraph" w:styleId="Style13" w:customStyle="1">
    <w:name w:val="章标题(不加入目录内)"/>
    <w:basedOn w:val="Title"/>
    <w:pPr>
      <w:jc w:val="both"/>
      <w:outlineLvl w:val="9"/>
    </w:pPr>
    <w:rPr/>
  </w:style>
  <w:style w:type="paragraph" w:styleId="11" w:customStyle="1">
    <w:name w:val="正文+1"/>
    <w:basedOn w:val="Default"/>
    <w:next w:val="Default"/>
    <w:pPr/>
    <w:rPr>
      <w:rFonts w:ascii="宋体" w:hAnsi="宋体"/>
      <w:color w:val="auto"/>
    </w:rPr>
  </w:style>
  <w:style w:type="paragraph" w:styleId="12" w:customStyle="1">
    <w:name w:val="正文文本+1"/>
    <w:basedOn w:val="Default"/>
    <w:next w:val="Default"/>
    <w:pPr/>
    <w:rPr>
      <w:rFonts w:ascii="宋体" w:hAnsi="宋体"/>
      <w:color w:val="auto"/>
    </w:rPr>
  </w:style>
  <w:style w:type="paragraph" w:styleId="Style14" w:customStyle="1">
    <w:name w:val="图表名"/>
    <w:basedOn w:val="Default"/>
    <w:next w:val="Default"/>
    <w:pPr>
      <w:spacing w:before="120" w:after="156"/>
    </w:pPr>
    <w:rPr>
      <w:rFonts w:ascii="宋体" w:hAnsi="宋体"/>
      <w:color w:val="auto"/>
    </w:rPr>
  </w:style>
  <w:style w:type="paragraph" w:styleId="style41" w:customStyle="1">
    <w:name w:val="style4"/>
    <w:basedOn w:val="Normal"/>
    <w:pPr>
      <w:widowControl/>
      <w:spacing w:beforeAutospacing="1" w:afterAutospacing="1"/>
      <w:jc w:val="start"/>
    </w:pPr>
    <w:rPr>
      <w:rFonts w:ascii="宋体" w:hAnsi="宋体" w:cs="宋体"/>
      <w:kern w:val="0"/>
    </w:rPr>
  </w:style>
  <w:style w:type="paragraph" w:styleId="MTDisplayEquation" w:customStyle="1">
    <w:name w:val="MTDisplayEquation"/>
    <w:basedOn w:val="Normal"/>
    <w:next w:val="Normal"/>
    <w:link w:val="MTDisplayEquationChar"/>
    <w:pPr>
      <w:tabs>
        <w:tab w:val="clear" w:pos="420"/>
        <w:tab w:val="center" w:pos="4240" w:leader="none"/>
        <w:tab w:val="right" w:pos="8500" w:leader="none"/>
      </w:tabs>
      <w:snapToGrid w:val="false"/>
      <w:ind w:firstLineChars="200"/>
    </w:pPr>
    <w:rPr/>
  </w:style>
  <w:style w:type="paragraph" w:styleId="MTEquationSection" w:customStyle="1">
    <w:name w:val="MTEquationSection"/>
    <w:basedOn w:val="Normal"/>
    <w:link w:val="MTEquationSectionChar"/>
    <w:pPr>
      <w:snapToGrid w:val="false"/>
      <w:spacing w:lineRule="exact" w:line="380" w:before="240" w:after="0"/>
    </w:pPr>
    <w:rPr>
      <w:rFonts w:eastAsia="隶书"/>
      <w:color w:val="FF0000"/>
      <w:spacing w:val="80"/>
      <w:sz w:val="48"/>
      <w:szCs w:val="48"/>
    </w:rPr>
  </w:style>
  <w:style w:type="paragraph" w:styleId="TOC11" w:customStyle="1">
    <w:name w:val="TOC 标题1"/>
    <w:basedOn w:val="Heading1"/>
    <w:next w:val="Normal"/>
    <w:uiPriority w:val="39"/>
    <w:unhideWhenUsed/>
    <w:qFormat/>
    <w:pPr>
      <w:keepNext w:val="true"/>
      <w:keepLines/>
      <w:widowControl/>
      <w:spacing w:lineRule="auto" w:line="259"/>
      <w:jc w:val="start"/>
      <w:outlineLvl w:val="9"/>
    </w:pPr>
    <w:rPr>
      <w:rFonts w:ascii="Calibri Light" w:hAnsi="Calibri Light" w:eastAsia="宋体"/>
      <w:b w:val="false"/>
      <w:color w:val="2E74B5"/>
      <w:kern w:val="0"/>
      <w:sz w:val="32"/>
      <w:szCs w:val="32"/>
    </w:rPr>
  </w:style>
  <w:style w:type="paragraph" w:styleId="ListParagraph">
    <w:name w:val="List Paragraph"/>
    <w:basedOn w:val="Normal"/>
    <w:uiPriority w:val="34"/>
    <w:qFormat/>
    <w:pPr>
      <w:spacing w:before="0" w:after="0"/>
      <w:ind w:start="720"/>
      <w:contextualSpacing/>
    </w:pPr>
    <w:rPr>
      <w:rFonts w:ascii="Calibri" w:hAnsi="Calibri"/>
      <w:sz w:val="21"/>
      <w:szCs w:val="22"/>
    </w:rPr>
  </w:style>
  <w:style w:type="paragraph" w:styleId="ordinary-output" w:customStyle="1">
    <w:name w:val="ordinary-output"/>
    <w:basedOn w:val="Normal"/>
    <w:pPr>
      <w:widowControl/>
      <w:spacing w:beforeAutospacing="1" w:afterAutospacing="1"/>
      <w:jc w:val="start"/>
    </w:pPr>
    <w:rPr>
      <w:rFonts w:ascii="宋体" w:hAnsi="宋体" w:cs="宋体"/>
      <w:kern w:val="0"/>
    </w:rPr>
  </w:style>
  <w:style w:type="paragraph" w:styleId="Style15" w:customStyle="1">
    <w:name w:val="论文"/>
    <w:basedOn w:val="PlainText"/>
    <w:link w:val="Char"/>
    <w:qFormat/>
    <w:pPr>
      <w:snapToGrid w:val="false"/>
      <w:ind w:firstLineChars="200"/>
    </w:pPr>
    <w:rPr>
      <w:sz w:val="24"/>
      <w:szCs w:val="24"/>
    </w:rPr>
  </w:style>
  <w:style w:type="paragraph" w:styleId="13" w:customStyle="1">
    <w:name w:val="样式1"/>
    <w:basedOn w:val="PlainText"/>
    <w:link w:val="1Char"/>
    <w:pPr>
      <w:snapToGrid w:val="false"/>
      <w:ind w:firstLineChars="200"/>
    </w:pPr>
    <w:rPr>
      <w:sz w:val="24"/>
      <w:szCs w:val="24"/>
    </w:rPr>
  </w:style>
  <w:style w:type="paragraph" w:styleId="222" w:customStyle="1">
    <w:name w:val="样式222"/>
    <w:basedOn w:val="13"/>
    <w:link w:val="222Char"/>
    <w:qFormat/>
    <w:pPr/>
    <w:rPr>
      <w:rFonts w:ascii="Times New Roman" w:hAnsi="Times New Roman"/>
    </w:rPr>
  </w:style>
  <w:style w:type="paragraph" w:styleId="Style16" w:customStyle="1">
    <w:name w:val="数字字母"/>
    <w:basedOn w:val="13"/>
    <w:link w:val="Char1"/>
    <w:pPr/>
    <w:rPr>
      <w:rFonts w:ascii="Times New Roman" w:hAnsi="Times New Roman" w:eastAsia="Times New Roman"/>
    </w:rPr>
  </w:style>
  <w:style w:type="numbering" w:styleId="NoList" w:default="1">
    <w:name w:val="No List"/>
    <w:uiPriority w:val="99"/>
    <w:semiHidden/>
    <w:unhideWhenUsed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f4">
    <w:name w:val="Table Grid"/>
    <w:basedOn w:val="a1"/>
    <w:pPr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4">
    <w:name w:val="网格型1"/>
    <w:basedOn w:val="a1"/>
    <w:uiPriority w:val="59"/>
    <w:rPr>
      <w:sz w:val="21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header" Target="header4.xml"/><Relationship Id="rId10" Type="http://schemas.openxmlformats.org/officeDocument/2006/relationships/header" Target="header5.xml"/><Relationship Id="rId11" Type="http://schemas.openxmlformats.org/officeDocument/2006/relationships/header" Target="header6.xml"/><Relationship Id="rId12" Type="http://schemas.openxmlformats.org/officeDocument/2006/relationships/footer" Target="footer4.xml"/><Relationship Id="rId13" Type="http://schemas.openxmlformats.org/officeDocument/2006/relationships/footer" Target="footer5.xml"/><Relationship Id="rId14" Type="http://schemas.openxmlformats.org/officeDocument/2006/relationships/footer" Target="footer6.xml"/><Relationship Id="rId15" Type="http://schemas.openxmlformats.org/officeDocument/2006/relationships/image" Target="media/image2.png"/><Relationship Id="rId16" Type="http://schemas.openxmlformats.org/officeDocument/2006/relationships/header" Target="header7.xml"/><Relationship Id="rId17" Type="http://schemas.openxmlformats.org/officeDocument/2006/relationships/header" Target="header8.xml"/><Relationship Id="rId18" Type="http://schemas.openxmlformats.org/officeDocument/2006/relationships/header" Target="header9.xml"/><Relationship Id="rId19" Type="http://schemas.openxmlformats.org/officeDocument/2006/relationships/footer" Target="footer7.xml"/><Relationship Id="rId20" Type="http://schemas.openxmlformats.org/officeDocument/2006/relationships/footer" Target="footer8.xml"/><Relationship Id="rId21" Type="http://schemas.openxmlformats.org/officeDocument/2006/relationships/footer" Target="footer9.xml"/><Relationship Id="rId22" Type="http://schemas.openxmlformats.org/officeDocument/2006/relationships/fontTable" Target="fontTable.xml"/><Relationship Id="rId23" Type="http://schemas.openxmlformats.org/officeDocument/2006/relationships/settings" Target="settings.xml"/><Relationship Id="rId24" Type="http://schemas.openxmlformats.org/officeDocument/2006/relationships/theme" Target="theme/theme1.xml"/><Relationship Id="rId2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主题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 pitchFamily="0" charset="1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 pitchFamily="0" charset="1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5B79714-7A47-8F41-84E4-4A204BBC1A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Application>LibreOffice/26.8.0.3$Linux_X86_64 LibreOffice_project/680$Build-3</Application>
  <AppVersion>15.0000</AppVersion>
  <Pages>14</Pages>
  <Words>4035</Words>
  <Characters>4763</Characters>
  <CharactersWithSpaces>4999</CharactersWithSpaces>
  <Paragraphs>86</Paragraphs>
  <Company>sparkle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2019-12-15T13:38:00Z</dcterms:created>
  <dc:creator>zhanhj</dc:creator>
  <dc:description/>
  <dc:language>zh-CN</dc:language>
  <cp:lastModifiedBy/>
  <cp:lastPrinted>2019-06-06T03:05:00Z</cp:lastPrinted>
  <dcterms:modified xsi:type="dcterms:W3CDTF">2026-09-11T15:39:06Z</dcterms:modified>
  <cp:revision>10</cp:revision>
  <dc:subject/>
  <dc:title>计算机科学与技术导论复杂工程问题课程报告模板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DB32F8D139724DE49777009A4D57F7F3_12</vt:lpwstr>
  </property>
  <property fmtid="{D5CDD505-2E9C-101B-9397-08002B2CF9AE}" pid="3" name="KSOProductBuildVer">
    <vt:lpwstr>2052-12.1.0.26895</vt:lpwstr>
  </property>
  <property fmtid="{D5CDD505-2E9C-101B-9397-08002B2CF9AE}" pid="4" name="KSOTemplateDocerSaveRecord">
    <vt:lpwstr>eyJoZGlkIjoiMDE1NTBkNTg0OWY0MWY4YWRhZTIxMzNjNjE5NWJlMjMiLCJ1c2VySWQiOiIzMjY5NDM0MTgifQ==</vt:lpwstr>
  </property>
  <property fmtid="{D5CDD505-2E9C-101B-9397-08002B2CF9AE}" pid="5" name="MTEqnNumsOnRight">
    <vt:bool>1</vt:bool>
  </property>
  <property fmtid="{D5CDD505-2E9C-101B-9397-08002B2CF9AE}" pid="6" name="MTEquationNumber2">
    <vt:lpwstr>(#E1)</vt:lpwstr>
  </property>
  <property fmtid="{D5CDD505-2E9C-101B-9397-08002B2CF9AE}" pid="7" name="MTEquationSection">
    <vt:lpwstr>1</vt:lpwstr>
  </property>
  <property fmtid="{D5CDD505-2E9C-101B-9397-08002B2CF9AE}" pid="8" name="MTWinEqns">
    <vt:bool>1</vt:bool>
  </property>
</Properties>
</file>