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EE7FD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一、研究背景与问题定义</w:t>
      </w:r>
    </w:p>
    <w:p w14:paraId="0586A90F" w14:textId="2605FDD8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提出并构建了一个</w:t>
      </w: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基于Python的智能投资决策仿真系统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，旨在实现多策略对比、风险收益分析、情绪驱动建模与智能报告生成。</w:t>
      </w:r>
    </w:p>
    <w:p w14:paraId="7FF011EE" w14:textId="77777777" w:rsidR="00915270" w:rsidRPr="00915270" w:rsidRDefault="00915270" w:rsidP="0091527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pict w14:anchorId="09BB042F">
          <v:rect id="_x0000_i1025" style="width:0;height:1.5pt" o:hralign="center" o:hrstd="t" o:hr="t" fillcolor="#a0a0a0" stroked="f"/>
        </w:pict>
      </w:r>
    </w:p>
    <w:p w14:paraId="37ECD5F1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二、系统总体架构与研究思路</w:t>
      </w:r>
    </w:p>
    <w:p w14:paraId="13D84968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本系统以</w:t>
      </w: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数据获取—策略建模—仿真计算—分析展示—报告生成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为核心流程，结合课程要求的三大要素（输入建模、输出分析、决策比较）构建出完整的金融决策仿真框架。</w:t>
      </w:r>
    </w:p>
    <w:p w14:paraId="6B84DFDD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系统架构如下：</w:t>
      </w:r>
    </w:p>
    <w:p w14:paraId="638D0D41" w14:textId="77777777" w:rsidR="00915270" w:rsidRPr="00915270" w:rsidRDefault="00915270" w:rsidP="009152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[市场数据模块] → [策略建模与AI策略生成] → [仿真回测引擎]</w:t>
      </w:r>
    </w:p>
    <w:p w14:paraId="35426D13" w14:textId="77777777" w:rsidR="00915270" w:rsidRPr="00915270" w:rsidRDefault="00915270" w:rsidP="009152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 xml:space="preserve">           ↓                             ↓</w:t>
      </w:r>
    </w:p>
    <w:p w14:paraId="505F5269" w14:textId="77777777" w:rsidR="00915270" w:rsidRPr="00915270" w:rsidRDefault="00915270" w:rsidP="009152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 xml:space="preserve">   [情绪分析模块]             [收益与风险分析模块]</w:t>
      </w:r>
    </w:p>
    <w:p w14:paraId="73E95E2F" w14:textId="77777777" w:rsidR="00915270" w:rsidRPr="00915270" w:rsidRDefault="00915270" w:rsidP="009152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 xml:space="preserve">           ↓                             ↓</w:t>
      </w:r>
    </w:p>
    <w:p w14:paraId="5ACF1B52" w14:textId="77777777" w:rsidR="00915270" w:rsidRPr="00915270" w:rsidRDefault="00915270" w:rsidP="009152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 xml:space="preserve">         [多维决策可视化仪表盘] ← [自动报告生成模块]</w:t>
      </w:r>
    </w:p>
    <w:p w14:paraId="56580882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系统前端通过 Streamlit / Dash 提供交互界面，后端采用 Python 实现仿真逻辑与数据处理。</w:t>
      </w:r>
    </w:p>
    <w:p w14:paraId="0A4B3667" w14:textId="77777777" w:rsidR="00915270" w:rsidRPr="00915270" w:rsidRDefault="00915270" w:rsidP="0091527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pict w14:anchorId="669C420F">
          <v:rect id="_x0000_i1026" style="width:0;height:1.5pt" o:hralign="center" o:hrstd="t" o:hr="t" fillcolor="#a0a0a0" stroked="f"/>
        </w:pict>
      </w:r>
    </w:p>
    <w:p w14:paraId="0272B25D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三、输入建模（Input Modeling）</w:t>
      </w:r>
    </w:p>
    <w:p w14:paraId="05313BF5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（1）数据输入来源</w:t>
      </w:r>
    </w:p>
    <w:p w14:paraId="4CD5D2E3" w14:textId="77777777" w:rsidR="00915270" w:rsidRPr="00915270" w:rsidRDefault="00915270" w:rsidP="009152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市场数据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：通过 yfinance、Tushare、Alpha Vantage 等 API 获取沪深、美股市场的历史K线与成交量数据。</w:t>
      </w:r>
    </w:p>
    <w:p w14:paraId="420837BB" w14:textId="77777777" w:rsidR="00915270" w:rsidRPr="00915270" w:rsidRDefault="00915270" w:rsidP="009152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情绪数据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：利用 FinBERT、vaderSentiment、或 Twitter API 抓取金融新闻与社交媒体情绪指数。</w:t>
      </w:r>
    </w:p>
    <w:p w14:paraId="504ED35B" w14:textId="77777777" w:rsidR="00915270" w:rsidRPr="00915270" w:rsidRDefault="00915270" w:rsidP="009152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宏观数据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（可选）：通胀率、国债收益率、汇率等辅助变量。</w:t>
      </w:r>
    </w:p>
    <w:p w14:paraId="7B0F1C67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（2）策略输入变量</w:t>
      </w:r>
    </w:p>
    <w:p w14:paraId="0DC18D2A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用户可在界面中选择或自定义以下投资策略：</w:t>
      </w:r>
    </w:p>
    <w:p w14:paraId="55512D8B" w14:textId="77777777" w:rsidR="00915270" w:rsidRPr="00915270" w:rsidRDefault="00915270" w:rsidP="0091527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动量策略（Momentum）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：当短期均线 MA5 &gt; MA20 时买入；反之卖出。</w:t>
      </w:r>
    </w:p>
    <w:p w14:paraId="264D0A8F" w14:textId="77777777" w:rsidR="00915270" w:rsidRPr="00915270" w:rsidRDefault="00915270" w:rsidP="0091527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均值回归策略（Mean Reversion）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：当价格低于布林带下轨时买入。</w:t>
      </w:r>
    </w:p>
    <w:p w14:paraId="749ADA5A" w14:textId="77777777" w:rsidR="00915270" w:rsidRPr="00915270" w:rsidRDefault="00915270" w:rsidP="0091527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风险平价策略（Risk Parity）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：各资产风险贡献相等。</w:t>
      </w:r>
    </w:p>
    <w:p w14:paraId="73B796B1" w14:textId="77777777" w:rsidR="00915270" w:rsidRPr="00915270" w:rsidRDefault="00915270" w:rsidP="0091527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情绪驱动策略（Sentiment-based）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：当市场情绪低迷时减仓，当情绪高涨时增仓。</w:t>
      </w:r>
    </w:p>
    <w:p w14:paraId="651D08FF" w14:textId="77777777" w:rsidR="00915270" w:rsidRPr="00915270" w:rsidRDefault="00915270" w:rsidP="0091527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AI策略生成器（Decision Copilot）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：输入自然语言生成策略，如“我想要一个中等风险的策略”，由模型自动输出规则逻辑。</w:t>
      </w:r>
    </w:p>
    <w:p w14:paraId="25EF12DA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（3）投资组合输入参数</w:t>
      </w:r>
    </w:p>
    <w:p w14:paraId="5FB30478" w14:textId="77777777" w:rsidR="00915270" w:rsidRPr="00915270" w:rsidRDefault="00915270" w:rsidP="0091527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股票池：用户自定义或自动筛选（可选行业、指数、ETF）。</w:t>
      </w:r>
    </w:p>
    <w:p w14:paraId="71BF502C" w14:textId="77777777" w:rsidR="00915270" w:rsidRPr="00915270" w:rsidRDefault="00915270" w:rsidP="0091527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时间区间：选择历史区间用于回测。</w:t>
      </w:r>
    </w:p>
    <w:p w14:paraId="5373AD5B" w14:textId="77777777" w:rsidR="00915270" w:rsidRPr="00915270" w:rsidRDefault="00915270" w:rsidP="0091527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权重设定：滑条交互式设置各资产占比。</w:t>
      </w:r>
    </w:p>
    <w:p w14:paraId="17CE6230" w14:textId="77777777" w:rsidR="00915270" w:rsidRPr="00915270" w:rsidRDefault="00915270" w:rsidP="0091527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pict w14:anchorId="139F2221">
          <v:rect id="_x0000_i1027" style="width:0;height:1.5pt" o:hralign="center" o:hrstd="t" o:hr="t" fillcolor="#a0a0a0" stroked="f"/>
        </w:pict>
      </w:r>
    </w:p>
    <w:p w14:paraId="63999504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四、输出分析（Output Analysis）</w:t>
      </w:r>
    </w:p>
    <w:p w14:paraId="15F6A288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（1）仿真与回测输出</w:t>
      </w:r>
    </w:p>
    <w:p w14:paraId="31C5FA59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系统通过 backtrader 或 vectorbt 模块执行策略仿真，输出包括：</w:t>
      </w:r>
    </w:p>
    <w:p w14:paraId="1321F1FD" w14:textId="77777777" w:rsidR="00915270" w:rsidRPr="00915270" w:rsidRDefault="00915270" w:rsidP="0091527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日度/周度/月度收益曲线；</w:t>
      </w:r>
    </w:p>
    <w:p w14:paraId="184D3F98" w14:textId="77777777" w:rsidR="00915270" w:rsidRPr="00915270" w:rsidRDefault="00915270" w:rsidP="0091527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年化收益率、最大回撤、波动率；</w:t>
      </w:r>
    </w:p>
    <w:p w14:paraId="668D6509" w14:textId="77777777" w:rsidR="00915270" w:rsidRPr="00915270" w:rsidRDefault="00915270" w:rsidP="0091527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夏普比率（Sharpe Ratio）、卡玛比率（Calmar Ratio）。</w:t>
      </w:r>
    </w:p>
    <w:p w14:paraId="5969FAA9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（2）风险与绩效可视化</w:t>
      </w:r>
    </w:p>
    <w:p w14:paraId="51C210EA" w14:textId="77777777" w:rsidR="00915270" w:rsidRPr="00915270" w:rsidRDefault="00915270" w:rsidP="009152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风险收益雷达图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：展示各策略在不同指标下的综合表现；</w:t>
      </w:r>
    </w:p>
    <w:p w14:paraId="1D0FD3F3" w14:textId="77777777" w:rsidR="00915270" w:rsidRPr="00915270" w:rsidRDefault="00915270" w:rsidP="009152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收益分布直方图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：展示策略收益的稳定性；</w:t>
      </w:r>
    </w:p>
    <w:p w14:paraId="0342DD2F" w14:textId="77777777" w:rsidR="00915270" w:rsidRPr="00915270" w:rsidRDefault="00915270" w:rsidP="009152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时间序列叠加图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：对比不同策略随时间的资产曲线变化；</w:t>
      </w:r>
    </w:p>
    <w:p w14:paraId="372C07A0" w14:textId="77777777" w:rsidR="00915270" w:rsidRPr="00915270" w:rsidRDefault="00915270" w:rsidP="0091527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风险前沿（Efficient Frontier）</w:t>
      </w:r>
      <w:r w:rsidRPr="00915270">
        <w:rPr>
          <w:rFonts w:ascii="宋体" w:eastAsia="宋体" w:hAnsi="宋体" w:cs="宋体"/>
          <w:kern w:val="0"/>
          <w:sz w:val="24"/>
          <w14:ligatures w14:val="none"/>
        </w:rPr>
        <w:t>：展示最优投资组合的风险收益权衡。</w:t>
      </w:r>
    </w:p>
    <w:p w14:paraId="2F2D5DC5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（3）市场情绪与绩效关联</w:t>
      </w:r>
    </w:p>
    <w:p w14:paraId="7A731479" w14:textId="77777777" w:rsidR="00915270" w:rsidRPr="00915270" w:rsidRDefault="00915270" w:rsidP="0091527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计算市场情绪与收益的相关系数；</w:t>
      </w:r>
    </w:p>
    <w:p w14:paraId="2BE551DB" w14:textId="77777777" w:rsidR="00915270" w:rsidRPr="00915270" w:rsidRDefault="00915270" w:rsidP="0091527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绘制“情绪得分—市场收益”散点图；</w:t>
      </w:r>
    </w:p>
    <w:p w14:paraId="1782079E" w14:textId="77777777" w:rsidR="00915270" w:rsidRPr="00915270" w:rsidRDefault="00915270" w:rsidP="0091527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评估在情绪极端值时的策略表现。</w:t>
      </w:r>
    </w:p>
    <w:p w14:paraId="726AEFB1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（4）报告自动生成</w:t>
      </w:r>
    </w:p>
    <w:p w14:paraId="0B7A5B74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使用 reportlab、markdown 或 pdfkit 自动生成PDF报告，内容包含：</w:t>
      </w:r>
    </w:p>
    <w:p w14:paraId="7013383F" w14:textId="77777777" w:rsidR="00915270" w:rsidRPr="00915270" w:rsidRDefault="00915270" w:rsidP="009152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策略说明与参数设定；</w:t>
      </w:r>
    </w:p>
    <w:p w14:paraId="2C61B130" w14:textId="77777777" w:rsidR="00915270" w:rsidRPr="00915270" w:rsidRDefault="00915270" w:rsidP="009152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主要绩效指标表格；</w:t>
      </w:r>
    </w:p>
    <w:p w14:paraId="3AD75248" w14:textId="77777777" w:rsidR="00915270" w:rsidRPr="00915270" w:rsidRDefault="00915270" w:rsidP="009152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可视化图表与分析；</w:t>
      </w:r>
    </w:p>
    <w:p w14:paraId="717C77CF" w14:textId="77777777" w:rsidR="00915270" w:rsidRPr="00915270" w:rsidRDefault="00915270" w:rsidP="0091527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总结与改进方向。</w:t>
      </w:r>
    </w:p>
    <w:p w14:paraId="4F0D305E" w14:textId="77777777" w:rsidR="00915270" w:rsidRPr="00915270" w:rsidRDefault="00915270" w:rsidP="0091527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5AECF5F2">
          <v:rect id="_x0000_i1028" style="width:0;height:1.5pt" o:hralign="center" o:hrstd="t" o:hr="t" fillcolor="#a0a0a0" stroked="f"/>
        </w:pict>
      </w:r>
    </w:p>
    <w:p w14:paraId="48055CD7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五、决策比较（Decision Comparison）</w:t>
      </w:r>
    </w:p>
    <w:p w14:paraId="10C78404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系统支持多策略、多组合的对比分析，从以下三个层面进行科学讨论：</w:t>
      </w:r>
    </w:p>
    <w:p w14:paraId="5120541C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（1）策略层比较</w:t>
      </w:r>
    </w:p>
    <w:p w14:paraId="60479B06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对比不同投资策略在相同数据区间内的表现：</w:t>
      </w:r>
    </w:p>
    <w:p w14:paraId="361321C0" w14:textId="77777777" w:rsidR="00915270" w:rsidRPr="00915270" w:rsidRDefault="00915270" w:rsidP="0091527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例如：动量策略 vs 均值回归策略 vs 情绪策略</w:t>
      </w:r>
    </w:p>
    <w:p w14:paraId="1702A429" w14:textId="77777777" w:rsidR="00915270" w:rsidRPr="00915270" w:rsidRDefault="00915270" w:rsidP="0091527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比较维度：年化收益、夏普比率、最大回撤、交易频率</w:t>
      </w:r>
    </w:p>
    <w:p w14:paraId="5B607177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（2）组合层比较</w:t>
      </w:r>
    </w:p>
    <w:p w14:paraId="1DEDC164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分析不同权重配置的投资组合：</w:t>
      </w:r>
    </w:p>
    <w:p w14:paraId="4520E707" w14:textId="77777777" w:rsidR="00915270" w:rsidRPr="00915270" w:rsidRDefault="00915270" w:rsidP="0091527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计算不同组合的风险-收益坐标；</w:t>
      </w:r>
    </w:p>
    <w:p w14:paraId="1A4BDF3F" w14:textId="77777777" w:rsidR="00915270" w:rsidRPr="00915270" w:rsidRDefault="00915270" w:rsidP="0091527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绘制风险前沿曲线，标识最优组合点；</w:t>
      </w:r>
    </w:p>
    <w:p w14:paraId="6BC03659" w14:textId="77777777" w:rsidR="00915270" w:rsidRPr="00915270" w:rsidRDefault="00915270" w:rsidP="0091527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展示“等风险组合”与“最大夏普组合”的差异。</w:t>
      </w:r>
    </w:p>
    <w:p w14:paraId="47F1D297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4"/>
          <w14:ligatures w14:val="none"/>
        </w:rPr>
        <w:t>（3）风险认知与改进方向</w:t>
      </w:r>
    </w:p>
    <w:p w14:paraId="2328D82E" w14:textId="77777777" w:rsidR="00915270" w:rsidRPr="00915270" w:rsidRDefault="00915270" w:rsidP="0091527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对策略鲁棒性（Robustness）进行讨论；</w:t>
      </w:r>
    </w:p>
    <w:p w14:paraId="70FA10B5" w14:textId="77777777" w:rsidR="00915270" w:rsidRPr="00915270" w:rsidRDefault="00915270" w:rsidP="0091527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探讨过拟合、数据时滞、黑天鹅事件的影响；</w:t>
      </w:r>
    </w:p>
    <w:p w14:paraId="445FF234" w14:textId="77777777" w:rsidR="00915270" w:rsidRPr="00915270" w:rsidRDefault="00915270" w:rsidP="0091527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t>提出改进方向，如加入宏观因子或机器学习风险预测模块。</w:t>
      </w:r>
    </w:p>
    <w:p w14:paraId="2FDB97DF" w14:textId="77777777" w:rsidR="00915270" w:rsidRPr="00915270" w:rsidRDefault="00915270" w:rsidP="0091527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pict w14:anchorId="4FA43A53">
          <v:rect id="_x0000_i1029" style="width:0;height:1.5pt" o:hralign="center" o:hrstd="t" o:hr="t" fillcolor="#a0a0a0" stroked="f"/>
        </w:pict>
      </w:r>
    </w:p>
    <w:p w14:paraId="165E1DD5" w14:textId="77777777" w:rsidR="00915270" w:rsidRPr="00915270" w:rsidRDefault="00915270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六、系统实现与技术细节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079"/>
        <w:gridCol w:w="3779"/>
      </w:tblGrid>
      <w:tr w:rsidR="00915270" w:rsidRPr="00915270" w14:paraId="67464EB6" w14:textId="77777777" w:rsidTr="00915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B235C" w14:textId="77777777" w:rsidR="00915270" w:rsidRPr="00915270" w:rsidRDefault="00915270" w:rsidP="009152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477855FD" w14:textId="77777777" w:rsidR="00915270" w:rsidRPr="00915270" w:rsidRDefault="00915270" w:rsidP="009152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E87B561" w14:textId="77777777" w:rsidR="00915270" w:rsidRPr="00915270" w:rsidRDefault="00915270" w:rsidP="009152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主要技术 / 库</w:t>
            </w:r>
          </w:p>
        </w:tc>
      </w:tr>
      <w:tr w:rsidR="00915270" w:rsidRPr="00915270" w14:paraId="511A7FFC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7B5B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数据获取模块</w:t>
            </w:r>
          </w:p>
        </w:tc>
        <w:tc>
          <w:tcPr>
            <w:tcW w:w="0" w:type="auto"/>
            <w:vAlign w:val="center"/>
            <w:hideMark/>
          </w:tcPr>
          <w:p w14:paraId="1DF7005E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股票、情绪数据爬取</w:t>
            </w:r>
          </w:p>
        </w:tc>
        <w:tc>
          <w:tcPr>
            <w:tcW w:w="0" w:type="auto"/>
            <w:vAlign w:val="center"/>
            <w:hideMark/>
          </w:tcPr>
          <w:p w14:paraId="27D5D35E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yfinance, tushare, FinBERT, requests</w:t>
            </w:r>
          </w:p>
        </w:tc>
      </w:tr>
      <w:tr w:rsidR="00915270" w:rsidRPr="00915270" w14:paraId="2D072395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C14A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策略仿真模块</w:t>
            </w:r>
          </w:p>
        </w:tc>
        <w:tc>
          <w:tcPr>
            <w:tcW w:w="0" w:type="auto"/>
            <w:vAlign w:val="center"/>
            <w:hideMark/>
          </w:tcPr>
          <w:p w14:paraId="7E7FE615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执行策略逻辑、计算收益</w:t>
            </w:r>
          </w:p>
        </w:tc>
        <w:tc>
          <w:tcPr>
            <w:tcW w:w="0" w:type="auto"/>
            <w:vAlign w:val="center"/>
            <w:hideMark/>
          </w:tcPr>
          <w:p w14:paraId="0BAAA84C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backtrader, vectorbt, pandas, numpy</w:t>
            </w:r>
          </w:p>
        </w:tc>
      </w:tr>
      <w:tr w:rsidR="00915270" w:rsidRPr="00915270" w14:paraId="4C1903CC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D8E9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情绪分析模块</w:t>
            </w:r>
          </w:p>
        </w:tc>
        <w:tc>
          <w:tcPr>
            <w:tcW w:w="0" w:type="auto"/>
            <w:vAlign w:val="center"/>
            <w:hideMark/>
          </w:tcPr>
          <w:p w14:paraId="6A4A0496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文本情感提取、量化指标生成</w:t>
            </w:r>
          </w:p>
        </w:tc>
        <w:tc>
          <w:tcPr>
            <w:tcW w:w="0" w:type="auto"/>
            <w:vAlign w:val="center"/>
            <w:hideMark/>
          </w:tcPr>
          <w:p w14:paraId="349ED332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nltk, vaderSentiment, transformers</w:t>
            </w:r>
          </w:p>
        </w:tc>
      </w:tr>
      <w:tr w:rsidR="00915270" w:rsidRPr="00915270" w14:paraId="702E9CFF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92C1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风险与绩效模块</w:t>
            </w:r>
          </w:p>
        </w:tc>
        <w:tc>
          <w:tcPr>
            <w:tcW w:w="0" w:type="auto"/>
            <w:vAlign w:val="center"/>
            <w:hideMark/>
          </w:tcPr>
          <w:p w14:paraId="6211FAA9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计算波动率、夏普比率、最大回撤等</w:t>
            </w:r>
          </w:p>
        </w:tc>
        <w:tc>
          <w:tcPr>
            <w:tcW w:w="0" w:type="auto"/>
            <w:vAlign w:val="center"/>
            <w:hideMark/>
          </w:tcPr>
          <w:p w14:paraId="66CA0BAB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numpy, scipy.stats</w:t>
            </w:r>
          </w:p>
        </w:tc>
      </w:tr>
      <w:tr w:rsidR="00915270" w:rsidRPr="00915270" w14:paraId="752B1C0F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E8D5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前端交互模块</w:t>
            </w:r>
          </w:p>
        </w:tc>
        <w:tc>
          <w:tcPr>
            <w:tcW w:w="0" w:type="auto"/>
            <w:vAlign w:val="center"/>
            <w:hideMark/>
          </w:tcPr>
          <w:p w14:paraId="79761981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用户输入与结果展示</w:t>
            </w:r>
          </w:p>
        </w:tc>
        <w:tc>
          <w:tcPr>
            <w:tcW w:w="0" w:type="auto"/>
            <w:vAlign w:val="center"/>
            <w:hideMark/>
          </w:tcPr>
          <w:p w14:paraId="42BD59CE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streamlit, plotly, dash</w:t>
            </w:r>
          </w:p>
        </w:tc>
      </w:tr>
      <w:tr w:rsidR="00915270" w:rsidRPr="00915270" w14:paraId="34496E91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5EB1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报告生成模块</w:t>
            </w:r>
          </w:p>
        </w:tc>
        <w:tc>
          <w:tcPr>
            <w:tcW w:w="0" w:type="auto"/>
            <w:vAlign w:val="center"/>
            <w:hideMark/>
          </w:tcPr>
          <w:p w14:paraId="679D6DDC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自动报告输出</w:t>
            </w:r>
          </w:p>
        </w:tc>
        <w:tc>
          <w:tcPr>
            <w:tcW w:w="0" w:type="auto"/>
            <w:vAlign w:val="center"/>
            <w:hideMark/>
          </w:tcPr>
          <w:p w14:paraId="1D8C8EA7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reportlab, pdfkit, markdown</w:t>
            </w:r>
          </w:p>
        </w:tc>
      </w:tr>
      <w:tr w:rsidR="00915270" w:rsidRPr="00915270" w14:paraId="61A33E1A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789C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AI策略生成模块</w:t>
            </w:r>
          </w:p>
        </w:tc>
        <w:tc>
          <w:tcPr>
            <w:tcW w:w="0" w:type="auto"/>
            <w:vAlign w:val="center"/>
            <w:hideMark/>
          </w:tcPr>
          <w:p w14:paraId="6BD6BA88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自然语言生成策略</w:t>
            </w:r>
          </w:p>
        </w:tc>
        <w:tc>
          <w:tcPr>
            <w:tcW w:w="0" w:type="auto"/>
            <w:vAlign w:val="center"/>
            <w:hideMark/>
          </w:tcPr>
          <w:p w14:paraId="27BEE6A6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Cursor Pro, OpenAI API, LangChain</w:t>
            </w:r>
          </w:p>
        </w:tc>
      </w:tr>
    </w:tbl>
    <w:p w14:paraId="74E3FFBE" w14:textId="1B68C6AE" w:rsidR="00915270" w:rsidRPr="00915270" w:rsidRDefault="00915270" w:rsidP="0091527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15270">
        <w:rPr>
          <w:rFonts w:ascii="宋体" w:eastAsia="宋体" w:hAnsi="宋体" w:cs="宋体"/>
          <w:kern w:val="0"/>
          <w:sz w:val="24"/>
          <w14:ligatures w14:val="none"/>
        </w:rPr>
        <w:pict w14:anchorId="6A5E7431">
          <v:rect id="_x0000_i1030" style="width:0;height:1.5pt" o:hralign="center" o:hrstd="t" o:hr="t" fillcolor="#a0a0a0" stroked="f"/>
        </w:pict>
      </w:r>
    </w:p>
    <w:p w14:paraId="69D712C8" w14:textId="57BA26A1" w:rsidR="00915270" w:rsidRPr="00915270" w:rsidRDefault="003E1E17" w:rsidP="0091527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七</w:t>
      </w:r>
      <w:r w:rsidR="00915270" w:rsidRPr="0091527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、学术支撑与引用基础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1965"/>
        <w:gridCol w:w="2453"/>
      </w:tblGrid>
      <w:tr w:rsidR="00915270" w:rsidRPr="00915270" w14:paraId="69AFFFC2" w14:textId="77777777" w:rsidTr="00915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87F1C" w14:textId="77777777" w:rsidR="00915270" w:rsidRPr="00915270" w:rsidRDefault="00915270" w:rsidP="009152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理论/文献</w:t>
            </w:r>
          </w:p>
        </w:tc>
        <w:tc>
          <w:tcPr>
            <w:tcW w:w="0" w:type="auto"/>
            <w:vAlign w:val="center"/>
            <w:hideMark/>
          </w:tcPr>
          <w:p w14:paraId="2A314A10" w14:textId="77777777" w:rsidR="00915270" w:rsidRPr="00915270" w:rsidRDefault="00915270" w:rsidP="009152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核心思想</w:t>
            </w:r>
          </w:p>
        </w:tc>
        <w:tc>
          <w:tcPr>
            <w:tcW w:w="0" w:type="auto"/>
            <w:vAlign w:val="center"/>
            <w:hideMark/>
          </w:tcPr>
          <w:p w14:paraId="3FF30913" w14:textId="77777777" w:rsidR="00915270" w:rsidRPr="00915270" w:rsidRDefault="00915270" w:rsidP="009152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在本系统中的应用</w:t>
            </w:r>
          </w:p>
        </w:tc>
      </w:tr>
      <w:tr w:rsidR="00915270" w:rsidRPr="00915270" w14:paraId="21A5074D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97DC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Markowitz (1952)《Portfolio Selection》</w:t>
            </w:r>
          </w:p>
        </w:tc>
        <w:tc>
          <w:tcPr>
            <w:tcW w:w="0" w:type="auto"/>
            <w:vAlign w:val="center"/>
            <w:hideMark/>
          </w:tcPr>
          <w:p w14:paraId="5F15995A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均值-方差优化理论</w:t>
            </w:r>
          </w:p>
        </w:tc>
        <w:tc>
          <w:tcPr>
            <w:tcW w:w="0" w:type="auto"/>
            <w:vAlign w:val="center"/>
            <w:hideMark/>
          </w:tcPr>
          <w:p w14:paraId="5AA90801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用于组合优化与风险前沿展示</w:t>
            </w:r>
          </w:p>
        </w:tc>
      </w:tr>
      <w:tr w:rsidR="00915270" w:rsidRPr="00915270" w14:paraId="309FEF49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CEE4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Sharpe (1994)《The Sharpe Ratio》</w:t>
            </w:r>
          </w:p>
        </w:tc>
        <w:tc>
          <w:tcPr>
            <w:tcW w:w="0" w:type="auto"/>
            <w:vAlign w:val="center"/>
            <w:hideMark/>
          </w:tcPr>
          <w:p w14:paraId="06AEEA55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绩效评估指标</w:t>
            </w:r>
          </w:p>
        </w:tc>
        <w:tc>
          <w:tcPr>
            <w:tcW w:w="0" w:type="auto"/>
            <w:vAlign w:val="center"/>
            <w:hideMark/>
          </w:tcPr>
          <w:p w14:paraId="7F6068C3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用于策略优劣比较</w:t>
            </w:r>
          </w:p>
        </w:tc>
      </w:tr>
      <w:tr w:rsidR="00915270" w:rsidRPr="00915270" w14:paraId="45F1EAA0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9379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Rockafellar &amp; Uryasev (2000)</w:t>
            </w:r>
          </w:p>
        </w:tc>
        <w:tc>
          <w:tcPr>
            <w:tcW w:w="0" w:type="auto"/>
            <w:vAlign w:val="center"/>
            <w:hideMark/>
          </w:tcPr>
          <w:p w14:paraId="0B45352B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CVaR优化模型</w:t>
            </w:r>
          </w:p>
        </w:tc>
        <w:tc>
          <w:tcPr>
            <w:tcW w:w="0" w:type="auto"/>
            <w:vAlign w:val="center"/>
            <w:hideMark/>
          </w:tcPr>
          <w:p w14:paraId="79156C8A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用于风险约束组合优化</w:t>
            </w:r>
          </w:p>
        </w:tc>
      </w:tr>
      <w:tr w:rsidR="00915270" w:rsidRPr="00915270" w14:paraId="61A1ED54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DA75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Jegadeesh &amp; Titman (1993)</w:t>
            </w:r>
          </w:p>
        </w:tc>
        <w:tc>
          <w:tcPr>
            <w:tcW w:w="0" w:type="auto"/>
            <w:vAlign w:val="center"/>
            <w:hideMark/>
          </w:tcPr>
          <w:p w14:paraId="0A43AEA5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动量效应研究</w:t>
            </w:r>
          </w:p>
        </w:tc>
        <w:tc>
          <w:tcPr>
            <w:tcW w:w="0" w:type="auto"/>
            <w:vAlign w:val="center"/>
            <w:hideMark/>
          </w:tcPr>
          <w:p w14:paraId="618FB865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用于动量型策略验证</w:t>
            </w:r>
          </w:p>
        </w:tc>
      </w:tr>
      <w:tr w:rsidR="00915270" w:rsidRPr="00915270" w14:paraId="18EC00DF" w14:textId="77777777" w:rsidTr="00915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AC46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Nofsinger (2005)</w:t>
            </w:r>
          </w:p>
        </w:tc>
        <w:tc>
          <w:tcPr>
            <w:tcW w:w="0" w:type="auto"/>
            <w:vAlign w:val="center"/>
            <w:hideMark/>
          </w:tcPr>
          <w:p w14:paraId="464FBD77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投资者情绪与市场波动</w:t>
            </w:r>
          </w:p>
        </w:tc>
        <w:tc>
          <w:tcPr>
            <w:tcW w:w="0" w:type="auto"/>
            <w:vAlign w:val="center"/>
            <w:hideMark/>
          </w:tcPr>
          <w:p w14:paraId="7C24555E" w14:textId="77777777" w:rsidR="00915270" w:rsidRPr="00915270" w:rsidRDefault="00915270" w:rsidP="009152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52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用于情绪驱动策略设计</w:t>
            </w:r>
          </w:p>
        </w:tc>
      </w:tr>
    </w:tbl>
    <w:p w14:paraId="660AC016" w14:textId="77777777" w:rsidR="006D0469" w:rsidRDefault="006D0469">
      <w:pPr>
        <w:rPr>
          <w:rFonts w:hint="eastAsia"/>
        </w:rPr>
      </w:pPr>
    </w:p>
    <w:sectPr w:rsidR="006D0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A218F"/>
    <w:multiLevelType w:val="multilevel"/>
    <w:tmpl w:val="3D08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A7E63"/>
    <w:multiLevelType w:val="multilevel"/>
    <w:tmpl w:val="E51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E462A"/>
    <w:multiLevelType w:val="multilevel"/>
    <w:tmpl w:val="DCA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E6A51"/>
    <w:multiLevelType w:val="multilevel"/>
    <w:tmpl w:val="F72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C665B"/>
    <w:multiLevelType w:val="multilevel"/>
    <w:tmpl w:val="037A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A213B"/>
    <w:multiLevelType w:val="multilevel"/>
    <w:tmpl w:val="1FC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A70F7"/>
    <w:multiLevelType w:val="multilevel"/>
    <w:tmpl w:val="EC6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15842"/>
    <w:multiLevelType w:val="multilevel"/>
    <w:tmpl w:val="3AF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B7286"/>
    <w:multiLevelType w:val="multilevel"/>
    <w:tmpl w:val="AD8E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94791"/>
    <w:multiLevelType w:val="multilevel"/>
    <w:tmpl w:val="B75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15605"/>
    <w:multiLevelType w:val="multilevel"/>
    <w:tmpl w:val="849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124">
    <w:abstractNumId w:val="9"/>
  </w:num>
  <w:num w:numId="2" w16cid:durableId="1246914519">
    <w:abstractNumId w:val="3"/>
  </w:num>
  <w:num w:numId="3" w16cid:durableId="1780831365">
    <w:abstractNumId w:val="5"/>
  </w:num>
  <w:num w:numId="4" w16cid:durableId="646712301">
    <w:abstractNumId w:val="2"/>
  </w:num>
  <w:num w:numId="5" w16cid:durableId="376205162">
    <w:abstractNumId w:val="1"/>
  </w:num>
  <w:num w:numId="6" w16cid:durableId="653753401">
    <w:abstractNumId w:val="0"/>
  </w:num>
  <w:num w:numId="7" w16cid:durableId="982853896">
    <w:abstractNumId w:val="7"/>
  </w:num>
  <w:num w:numId="8" w16cid:durableId="692807869">
    <w:abstractNumId w:val="6"/>
  </w:num>
  <w:num w:numId="9" w16cid:durableId="181674879">
    <w:abstractNumId w:val="4"/>
  </w:num>
  <w:num w:numId="10" w16cid:durableId="1114012466">
    <w:abstractNumId w:val="10"/>
  </w:num>
  <w:num w:numId="11" w16cid:durableId="804734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FC"/>
    <w:rsid w:val="0004027B"/>
    <w:rsid w:val="003E1E17"/>
    <w:rsid w:val="006D0469"/>
    <w:rsid w:val="007728FC"/>
    <w:rsid w:val="00915270"/>
    <w:rsid w:val="00B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095D"/>
  <w15:chartTrackingRefBased/>
  <w15:docId w15:val="{31610DC9-223A-4914-9DC2-AE8DDB60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28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28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728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8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8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8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8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8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28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728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8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8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8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8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8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28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8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28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8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8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8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8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8F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1527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1527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152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15270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15270"/>
    <w:rPr>
      <w:rFonts w:ascii="宋体" w:eastAsia="宋体" w:hAnsi="宋体" w:cs="宋体"/>
      <w:sz w:val="24"/>
      <w:szCs w:val="24"/>
    </w:rPr>
  </w:style>
  <w:style w:type="character" w:customStyle="1" w:styleId="hljs-selector-attr">
    <w:name w:val="hljs-selector-attr"/>
    <w:basedOn w:val="a0"/>
    <w:rsid w:val="00915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0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余子涵</dc:creator>
  <cp:keywords/>
  <dc:description/>
  <cp:lastModifiedBy>余子涵</cp:lastModifiedBy>
  <cp:revision>3</cp:revision>
  <dcterms:created xsi:type="dcterms:W3CDTF">2025-11-12T11:39:00Z</dcterms:created>
  <dcterms:modified xsi:type="dcterms:W3CDTF">2025-11-12T11:39:00Z</dcterms:modified>
</cp:coreProperties>
</file>